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sz w:val="44"/>
          <w:szCs w:val="44"/>
        </w:rPr>
      </w:pPr>
      <w:bookmarkStart w:id="0" w:name="_GoBack"/>
      <w:bookmarkEnd w:id="0"/>
      <w:r>
        <w:rPr>
          <w:rFonts w:hint="default" w:ascii="方正小标宋简体" w:eastAsia="方正小标宋简体"/>
          <w:sz w:val="44"/>
          <w:szCs w:val="44"/>
          <w:lang w:val="en-US"/>
        </w:rPr>
        <mc:AlternateContent>
          <mc:Choice Requires="wps">
            <w:drawing>
              <wp:anchor distT="0" distB="0" distL="114300" distR="114300" simplePos="0" relativeHeight="251660288" behindDoc="0" locked="0" layoutInCell="1" allowOverlap="1">
                <wp:simplePos x="0" y="0"/>
                <wp:positionH relativeFrom="column">
                  <wp:posOffset>-370840</wp:posOffset>
                </wp:positionH>
                <wp:positionV relativeFrom="paragraph">
                  <wp:posOffset>-175260</wp:posOffset>
                </wp:positionV>
                <wp:extent cx="885190" cy="533400"/>
                <wp:effectExtent l="4445" t="5080" r="9525" b="10160"/>
                <wp:wrapNone/>
                <wp:docPr id="1" name="文本框 3"/>
                <wp:cNvGraphicFramePr/>
                <a:graphic xmlns:a="http://schemas.openxmlformats.org/drawingml/2006/main">
                  <a:graphicData uri="http://schemas.microsoft.com/office/word/2010/wordprocessingShape">
                    <wps:wsp>
                      <wps:cNvSpPr txBox="true"/>
                      <wps:spPr>
                        <a:xfrm>
                          <a:off x="0" y="0"/>
                          <a:ext cx="885190" cy="53340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p>
                        </w:txbxContent>
                      </wps:txbx>
                      <wps:bodyPr upright="true"/>
                    </wps:wsp>
                  </a:graphicData>
                </a:graphic>
              </wp:anchor>
            </w:drawing>
          </mc:Choice>
          <mc:Fallback>
            <w:pict>
              <v:shape id="文本框 3" o:spid="_x0000_s1026" o:spt="202" type="#_x0000_t202" style="position:absolute;left:0pt;margin-left:-29.2pt;margin-top:-13.8pt;height:42pt;width:69.7pt;z-index:251660288;mso-width-relative:page;mso-height-relative:page;" fillcolor="#FFFFFF" filled="t" stroked="t" coordsize="21600,21600" o:gfxdata="UEsFBgAAAAAAAAAAAAAAAAAAAAAAAFBLAwQKAAAAAACHTuJAAAAAAAAAAAAAAAAABAAAAGRycy9Q&#10;SwMEFAAAAAgAh07iQJJ7Sp7YAAAACQEAAA8AAABkcnMvZG93bnJldi54bWxNj8FOwzAMhu9IvENk&#10;JC5oS1ptpSpNJzSBOG9w4ZY1XlvROG2TrRtPjznBzZY//f7+cnNxvTjjFDpPGpKlAoFUe9tRo+Hj&#10;/XWRgwjRkDW9J9RwxQCb6vamNIX1M+3wvI+N4BAKhdHQxjgUUoa6RWfC0g9IfDv6yZnI69RIO5mZ&#10;w10vU6Uy6UxH/KE1A25brL/2J6fBzy9X53FU6cPnt3vbPo+7YzpqfX+XqCcQES/xD4ZffVaHip0O&#10;/kQ2iF7DYp2vGOUhfcxAMJEnXO6gYZ2tQFal/N+g+gFQSwMEFAAAAAgAh07iQFWcSbbwAQAA7QMA&#10;AA4AAABkcnMvZTJvRG9jLnhtbK1TS44TMRDdI3EHy3vSnYSgTJTOSBDCBgHSwAEcu9xtyT/ZTrpz&#10;AbgBKzbsOVfOMWVnkmGYzWhEL9xlV9Xzq1fl5fVgNNlDiMrZho5HNSVguRPKtg399nXzak5JTMwK&#10;pp2Fhh4g0uvVyxfL3i9g4jqnBQSCIDYuet/QLiW/qKrIOzAsjpwHi07pgmEJt6GtRGA9ohtdTer6&#10;TdW7IHxwHGLE0/XJSVcFX0rg6bOUERLRDUVuqayhrNu8VqslW7SB+U7xOxrsGSwMUxYvvUCtWWJk&#10;F9QjKKN4cNHJNOLOVE5KxaHUgNWM63+quemYh1ILihP9Rab4/2D5p/2XQJTA3lFimcEWHX/+OP76&#10;c/z9nUyzPL2PC4y68RiXhrduaGgKOzi7Ip7nwgcZTP5jSQRDUOvDRV8YEuF4OJ/Pxlfo4eiaTaev&#10;66J/dZ/sQ0wfwBmSjYYGbF9Rle0/xoRcMPQcku+KTiuxUVqXTWi373Qge4at3pQvc8SUB2Hakr6h&#10;V7PJDHkwnDipWULTeNQg2rbc9yAjPg04E1uz2J0IFITTdBmVIJQ564CJ91aQdPCos8UHQTMZA4IS&#10;Dfh+slUiE1P6KZFYnbZYZG7SqRPZSsN2QJhsbp04YON2Pqi2Q0nPrSsZOFNFoLv5z0P7977g3r/S&#10;1S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CSe0qe2AAAAAkBAAAPAAAAAAAAAAEAIAAAADgAAABk&#10;cnMvZG93bnJldi54bWxQSwECFAAUAAAACACHTuJAVZxJtvABAADtAwAADgAAAAAAAAABACAAAAA9&#10;AQAAZHJzL2Uyb0RvYy54bWxQSwUGAAAAAAYABgBZAQAAnwUAAAAA&#10;">
                <v:fill on="t" focussize="0,0"/>
                <v:stroke color="#FFFFFF" joinstyle="miter"/>
                <v:imagedata o:title=""/>
                <o:lock v:ext="edit" aspectratio="f"/>
                <v:textbox>
                  <w:txbxContent>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p>
                  </w:txbxContent>
                </v:textbox>
              </v:shape>
            </w:pict>
          </mc:Fallback>
        </mc:AlternateContent>
      </w:r>
      <w:r>
        <w:rPr>
          <w:rFonts w:hint="eastAsia" w:ascii="方正小标宋简体" w:eastAsia="方正小标宋简体"/>
          <w:sz w:val="44"/>
          <w:szCs w:val="44"/>
          <w:lang w:val="en-US" w:eastAsia="zh-CN"/>
        </w:rPr>
        <w:t>滕州</w:t>
      </w:r>
      <w:r>
        <w:rPr>
          <w:rFonts w:hint="eastAsia" w:ascii="方正小标宋简体" w:eastAsia="方正小标宋简体"/>
          <w:sz w:val="44"/>
          <w:szCs w:val="44"/>
        </w:rPr>
        <w:t>市统计局统计行政处罚裁量基准</w:t>
      </w:r>
    </w:p>
    <w:p>
      <w:pPr>
        <w:rPr>
          <w:rFonts w:hint="eastAsia"/>
        </w:rPr>
      </w:pPr>
    </w:p>
    <w:tbl>
      <w:tblPr>
        <w:tblStyle w:val="6"/>
        <w:tblW w:w="10348" w:type="dxa"/>
        <w:tblInd w:w="-6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513"/>
        <w:gridCol w:w="780"/>
        <w:gridCol w:w="2220"/>
        <w:gridCol w:w="825"/>
        <w:gridCol w:w="1485"/>
        <w:gridCol w:w="3108"/>
        <w:gridCol w:w="7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99" w:hRule="exact"/>
        </w:trPr>
        <w:tc>
          <w:tcPr>
            <w:tcW w:w="709" w:type="dxa"/>
            <w:vAlign w:val="center"/>
          </w:tcPr>
          <w:p>
            <w:pPr>
              <w:jc w:val="center"/>
              <w:rPr>
                <w:b/>
                <w:sz w:val="24"/>
                <w:szCs w:val="24"/>
              </w:rPr>
            </w:pPr>
            <w:r>
              <w:rPr>
                <w:rFonts w:hint="eastAsia"/>
                <w:b/>
                <w:sz w:val="24"/>
                <w:szCs w:val="24"/>
              </w:rPr>
              <w:t>类别</w:t>
            </w:r>
          </w:p>
        </w:tc>
        <w:tc>
          <w:tcPr>
            <w:tcW w:w="513" w:type="dxa"/>
            <w:vAlign w:val="center"/>
          </w:tcPr>
          <w:p>
            <w:pPr>
              <w:jc w:val="center"/>
              <w:rPr>
                <w:b/>
                <w:sz w:val="24"/>
                <w:szCs w:val="24"/>
              </w:rPr>
            </w:pPr>
            <w:r>
              <w:rPr>
                <w:rFonts w:hint="eastAsia"/>
                <w:b/>
                <w:sz w:val="24"/>
                <w:szCs w:val="24"/>
              </w:rPr>
              <w:t>序号</w:t>
            </w:r>
          </w:p>
        </w:tc>
        <w:tc>
          <w:tcPr>
            <w:tcW w:w="780" w:type="dxa"/>
            <w:vAlign w:val="center"/>
          </w:tcPr>
          <w:p>
            <w:pPr>
              <w:jc w:val="center"/>
              <w:rPr>
                <w:b/>
                <w:sz w:val="24"/>
                <w:szCs w:val="24"/>
              </w:rPr>
            </w:pPr>
            <w:r>
              <w:rPr>
                <w:rFonts w:hint="eastAsia"/>
                <w:b/>
                <w:sz w:val="24"/>
                <w:szCs w:val="24"/>
              </w:rPr>
              <w:t>违法行为</w:t>
            </w:r>
          </w:p>
        </w:tc>
        <w:tc>
          <w:tcPr>
            <w:tcW w:w="2220" w:type="dxa"/>
            <w:vAlign w:val="center"/>
          </w:tcPr>
          <w:p>
            <w:pPr>
              <w:jc w:val="center"/>
              <w:rPr>
                <w:b/>
                <w:sz w:val="24"/>
                <w:szCs w:val="24"/>
              </w:rPr>
            </w:pPr>
            <w:r>
              <w:rPr>
                <w:rFonts w:hint="eastAsia"/>
                <w:b/>
                <w:sz w:val="24"/>
                <w:szCs w:val="24"/>
              </w:rPr>
              <w:t>处罚依据</w:t>
            </w:r>
          </w:p>
        </w:tc>
        <w:tc>
          <w:tcPr>
            <w:tcW w:w="825" w:type="dxa"/>
            <w:vAlign w:val="center"/>
          </w:tcPr>
          <w:p>
            <w:pPr>
              <w:jc w:val="center"/>
              <w:rPr>
                <w:b/>
                <w:sz w:val="24"/>
                <w:szCs w:val="24"/>
              </w:rPr>
            </w:pPr>
            <w:r>
              <w:rPr>
                <w:rFonts w:hint="eastAsia"/>
                <w:b/>
                <w:sz w:val="24"/>
                <w:szCs w:val="24"/>
              </w:rPr>
              <w:t>裁量档次</w:t>
            </w:r>
          </w:p>
        </w:tc>
        <w:tc>
          <w:tcPr>
            <w:tcW w:w="1485" w:type="dxa"/>
            <w:vAlign w:val="center"/>
          </w:tcPr>
          <w:p>
            <w:pPr>
              <w:jc w:val="center"/>
              <w:rPr>
                <w:b/>
                <w:sz w:val="24"/>
                <w:szCs w:val="24"/>
              </w:rPr>
            </w:pPr>
            <w:r>
              <w:rPr>
                <w:rFonts w:hint="eastAsia"/>
                <w:b/>
                <w:sz w:val="24"/>
                <w:szCs w:val="24"/>
              </w:rPr>
              <w:t>违法行为表现形式</w:t>
            </w:r>
          </w:p>
        </w:tc>
        <w:tc>
          <w:tcPr>
            <w:tcW w:w="3108" w:type="dxa"/>
            <w:vAlign w:val="center"/>
          </w:tcPr>
          <w:p>
            <w:pPr>
              <w:jc w:val="center"/>
              <w:rPr>
                <w:b/>
                <w:sz w:val="24"/>
                <w:szCs w:val="24"/>
              </w:rPr>
            </w:pPr>
            <w:r>
              <w:rPr>
                <w:rFonts w:hint="eastAsia"/>
                <w:b/>
                <w:sz w:val="24"/>
                <w:szCs w:val="24"/>
              </w:rPr>
              <w:t>裁量标准</w:t>
            </w:r>
          </w:p>
        </w:tc>
        <w:tc>
          <w:tcPr>
            <w:tcW w:w="708" w:type="dxa"/>
            <w:vAlign w:val="center"/>
          </w:tcPr>
          <w:p>
            <w:pPr>
              <w:jc w:val="center"/>
              <w:rPr>
                <w:b/>
                <w:sz w:val="24"/>
                <w:szCs w:val="24"/>
              </w:rPr>
            </w:pPr>
            <w:r>
              <w:rPr>
                <w:rFonts w:hint="eastAsia"/>
                <w:b/>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138" w:hRule="exact"/>
        </w:trPr>
        <w:tc>
          <w:tcPr>
            <w:tcW w:w="709" w:type="dxa"/>
            <w:vMerge w:val="restart"/>
            <w:vAlign w:val="center"/>
          </w:tcPr>
          <w:p>
            <w:pPr>
              <w:jc w:val="center"/>
              <w:rPr>
                <w:rFonts w:hint="eastAsia" w:ascii="宋体" w:hAnsi="宋体"/>
                <w:sz w:val="18"/>
                <w:szCs w:val="18"/>
                <w:lang w:eastAsia="zh-CN"/>
              </w:rPr>
            </w:pPr>
            <w:r>
              <w:rPr>
                <w:rFonts w:hint="eastAsia" w:ascii="宋体" w:hAnsi="宋体"/>
                <w:sz w:val="18"/>
                <w:szCs w:val="18"/>
                <w:lang w:eastAsia="zh-CN"/>
              </w:rPr>
              <w:t>统</w:t>
            </w:r>
          </w:p>
          <w:p>
            <w:pPr>
              <w:jc w:val="center"/>
              <w:rPr>
                <w:rFonts w:hint="eastAsia" w:ascii="宋体" w:hAnsi="宋体"/>
                <w:sz w:val="18"/>
                <w:szCs w:val="18"/>
                <w:lang w:eastAsia="zh-CN"/>
              </w:rPr>
            </w:pPr>
            <w:r>
              <w:rPr>
                <w:rFonts w:hint="eastAsia" w:ascii="宋体" w:hAnsi="宋体"/>
                <w:sz w:val="18"/>
                <w:szCs w:val="18"/>
                <w:lang w:eastAsia="zh-CN"/>
              </w:rPr>
              <w:t>计</w:t>
            </w:r>
          </w:p>
          <w:p>
            <w:pPr>
              <w:jc w:val="center"/>
              <w:rPr>
                <w:rFonts w:hint="eastAsia" w:ascii="宋体" w:hAnsi="宋体"/>
                <w:sz w:val="18"/>
                <w:szCs w:val="18"/>
              </w:rPr>
            </w:pPr>
            <w:r>
              <w:rPr>
                <w:rFonts w:hint="eastAsia" w:ascii="宋体" w:hAnsi="宋体"/>
                <w:sz w:val="18"/>
                <w:szCs w:val="18"/>
              </w:rPr>
              <w:t>管</w:t>
            </w:r>
          </w:p>
          <w:p>
            <w:pPr>
              <w:jc w:val="center"/>
              <w:rPr>
                <w:rFonts w:ascii="宋体" w:hAnsi="宋体"/>
                <w:sz w:val="18"/>
                <w:szCs w:val="18"/>
              </w:rPr>
            </w:pPr>
            <w:r>
              <w:rPr>
                <w:rFonts w:hint="eastAsia" w:ascii="宋体" w:hAnsi="宋体"/>
                <w:sz w:val="18"/>
                <w:szCs w:val="18"/>
              </w:rPr>
              <w:t>理</w:t>
            </w:r>
          </w:p>
        </w:tc>
        <w:tc>
          <w:tcPr>
            <w:tcW w:w="513" w:type="dxa"/>
            <w:vMerge w:val="restart"/>
            <w:vAlign w:val="center"/>
          </w:tcPr>
          <w:p>
            <w:pPr>
              <w:jc w:val="center"/>
              <w:rPr>
                <w:rFonts w:ascii="宋体" w:hAnsi="宋体"/>
                <w:sz w:val="18"/>
                <w:szCs w:val="18"/>
              </w:rPr>
            </w:pPr>
            <w:r>
              <w:rPr>
                <w:rFonts w:hint="eastAsia" w:ascii="宋体" w:hAnsi="宋体"/>
                <w:sz w:val="18"/>
                <w:szCs w:val="18"/>
              </w:rPr>
              <w:t>1</w:t>
            </w:r>
          </w:p>
        </w:tc>
        <w:tc>
          <w:tcPr>
            <w:tcW w:w="780" w:type="dxa"/>
            <w:vMerge w:val="restart"/>
            <w:vAlign w:val="center"/>
          </w:tcPr>
          <w:p>
            <w:pPr>
              <w:jc w:val="left"/>
              <w:rPr>
                <w:rFonts w:ascii="宋体" w:hAnsi="宋体"/>
                <w:sz w:val="18"/>
                <w:szCs w:val="18"/>
              </w:rPr>
            </w:pPr>
            <w:r>
              <w:rPr>
                <w:rFonts w:hint="eastAsia" w:ascii="宋体" w:hAnsi="宋体"/>
                <w:sz w:val="18"/>
                <w:szCs w:val="18"/>
              </w:rPr>
              <w:t>企业事业单位或者其他组织提供不真实统计资料的</w:t>
            </w:r>
          </w:p>
        </w:tc>
        <w:tc>
          <w:tcPr>
            <w:tcW w:w="2220" w:type="dxa"/>
            <w:vMerge w:val="restart"/>
            <w:vAlign w:val="center"/>
          </w:tcPr>
          <w:p>
            <w:pPr>
              <w:jc w:val="both"/>
              <w:rPr>
                <w:rFonts w:ascii="宋体" w:hAnsi="宋体"/>
                <w:sz w:val="18"/>
                <w:szCs w:val="18"/>
              </w:rPr>
            </w:pPr>
            <w:r>
              <w:rPr>
                <w:rFonts w:hint="eastAsia" w:ascii="宋体" w:hAnsi="宋体"/>
                <w:sz w:val="18"/>
                <w:szCs w:val="18"/>
                <w:lang w:eastAsia="zh-CN"/>
              </w:rPr>
              <w:t>《中华人民共和国统计法》第四十一条：“</w:t>
            </w:r>
            <w:r>
              <w:rPr>
                <w:rFonts w:hint="eastAsia" w:ascii="宋体" w:hAnsi="宋体"/>
                <w:sz w:val="18"/>
                <w:szCs w:val="18"/>
              </w:rPr>
              <w:t>作为统计调查对象的国家机关、企业事业单位或者其他组织有下列行为之一的，由县级以上人民政府统计机构责令改正，给予警告，可以予以通报；其直接负责的主管人员和其他直接责任人员属于国家工作人员的，由任免机关或者监察机关依法给予处分：（一）拒绝提供统计资料或者经催报后仍未按时提供统计资料的；（二）提供不真实或者不完整的统计资料的；（三）拒绝答复或者不如实答复统计检查查询书的；（四）拒绝、阻碍统计调查、统计检查的；（五）转移、隐匿、篡改、毁弃或者拒绝提供原始记录和凭证、统计台账、统计调查表及其他相关证明和资料的。 企业事业单位或者其他组织有前款所列行为之一的，可以并处五万元以下的罚款；情节严重的，并处五万元以上二十万元以下的罚款。个体工商户有本条第一款所列行为之一的，由县级以上人民政府统计机构责令改正，给予警告，可以并处一万元以下的罚款</w:t>
            </w:r>
            <w:r>
              <w:rPr>
                <w:rFonts w:hint="eastAsia" w:ascii="宋体" w:hAnsi="宋体"/>
                <w:sz w:val="18"/>
                <w:szCs w:val="18"/>
                <w:lang w:eastAsia="zh-CN"/>
              </w:rPr>
              <w:t>”</w:t>
            </w:r>
            <w:r>
              <w:rPr>
                <w:rFonts w:hint="eastAsia" w:ascii="宋体" w:hAnsi="宋体"/>
                <w:sz w:val="18"/>
                <w:szCs w:val="18"/>
              </w:rPr>
              <w:t>。</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center"/>
              <w:textAlignment w:val="auto"/>
              <w:outlineLvl w:val="9"/>
              <w:rPr>
                <w:rFonts w:ascii="宋体" w:hAnsi="宋体"/>
                <w:sz w:val="18"/>
                <w:szCs w:val="18"/>
              </w:rPr>
            </w:pPr>
            <w:r>
              <w:rPr>
                <w:rFonts w:hint="eastAsia" w:ascii="宋体" w:hAnsi="宋体"/>
                <w:sz w:val="18"/>
                <w:szCs w:val="18"/>
              </w:rPr>
              <w:t>轻微</w:t>
            </w: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left"/>
              <w:textAlignment w:val="auto"/>
              <w:outlineLvl w:val="9"/>
              <w:rPr>
                <w:rFonts w:ascii="宋体" w:hAnsi="宋体"/>
                <w:sz w:val="18"/>
                <w:szCs w:val="18"/>
              </w:rPr>
            </w:pPr>
            <w:r>
              <w:rPr>
                <w:rFonts w:hint="eastAsia" w:ascii="宋体" w:hAnsi="宋体"/>
                <w:sz w:val="18"/>
                <w:szCs w:val="18"/>
              </w:rPr>
              <w:t>违法数额比例不足30%的</w:t>
            </w:r>
          </w:p>
        </w:tc>
        <w:tc>
          <w:tcPr>
            <w:tcW w:w="3108"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left"/>
              <w:textAlignment w:val="auto"/>
              <w:outlineLvl w:val="9"/>
              <w:rPr>
                <w:rFonts w:ascii="宋体" w:hAnsi="宋体"/>
                <w:sz w:val="18"/>
                <w:szCs w:val="18"/>
              </w:rPr>
            </w:pPr>
            <w:r>
              <w:rPr>
                <w:rFonts w:hint="eastAsia" w:ascii="宋体" w:hAnsi="宋体"/>
                <w:sz w:val="18"/>
                <w:szCs w:val="18"/>
              </w:rPr>
              <w:t>违法数额不足2000万元的，给予“警告”或“警告并处五千元以上八千元以下罚款”；违法数额大于2000万元的，给予“警告并处八千元以上一万元以下罚款”</w:t>
            </w:r>
          </w:p>
        </w:tc>
        <w:tc>
          <w:tcPr>
            <w:tcW w:w="708"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center"/>
              <w:textAlignment w:val="auto"/>
              <w:outlineLvl w:val="9"/>
              <w:rPr>
                <w:rFonts w:ascii="宋体" w:hAnsi="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73" w:hRule="exact"/>
        </w:trPr>
        <w:tc>
          <w:tcPr>
            <w:tcW w:w="709" w:type="dxa"/>
            <w:vMerge w:val="continue"/>
            <w:vAlign w:val="center"/>
          </w:tcPr>
          <w:p>
            <w:pPr>
              <w:jc w:val="center"/>
              <w:rPr>
                <w:rFonts w:ascii="宋体" w:hAnsi="宋体"/>
                <w:sz w:val="18"/>
                <w:szCs w:val="18"/>
              </w:rPr>
            </w:pPr>
          </w:p>
        </w:tc>
        <w:tc>
          <w:tcPr>
            <w:tcW w:w="513" w:type="dxa"/>
            <w:vMerge w:val="continue"/>
            <w:vAlign w:val="center"/>
          </w:tcPr>
          <w:p>
            <w:pPr>
              <w:jc w:val="center"/>
              <w:rPr>
                <w:rFonts w:ascii="宋体" w:hAnsi="宋体"/>
                <w:sz w:val="18"/>
                <w:szCs w:val="18"/>
              </w:rPr>
            </w:pPr>
          </w:p>
        </w:tc>
        <w:tc>
          <w:tcPr>
            <w:tcW w:w="780" w:type="dxa"/>
            <w:vMerge w:val="continue"/>
            <w:vAlign w:val="center"/>
          </w:tcPr>
          <w:p>
            <w:pPr>
              <w:jc w:val="center"/>
              <w:rPr>
                <w:rFonts w:ascii="宋体" w:hAnsi="宋体"/>
                <w:sz w:val="18"/>
                <w:szCs w:val="18"/>
              </w:rPr>
            </w:pPr>
          </w:p>
        </w:tc>
        <w:tc>
          <w:tcPr>
            <w:tcW w:w="2220" w:type="dxa"/>
            <w:vMerge w:val="continue"/>
            <w:vAlign w:val="center"/>
          </w:tcPr>
          <w:p>
            <w:pPr>
              <w:jc w:val="center"/>
              <w:rPr>
                <w:rFonts w:ascii="宋体" w:hAnsi="宋体"/>
                <w:sz w:val="18"/>
                <w:szCs w:val="18"/>
              </w:rPr>
            </w:pP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center"/>
              <w:textAlignment w:val="auto"/>
              <w:outlineLvl w:val="9"/>
              <w:rPr>
                <w:rFonts w:ascii="宋体" w:hAnsi="宋体"/>
                <w:sz w:val="18"/>
                <w:szCs w:val="18"/>
              </w:rPr>
            </w:pPr>
            <w:r>
              <w:rPr>
                <w:rFonts w:hint="eastAsia" w:ascii="宋体" w:hAnsi="宋体"/>
                <w:sz w:val="18"/>
                <w:szCs w:val="18"/>
              </w:rPr>
              <w:t>一般</w:t>
            </w: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left"/>
              <w:textAlignment w:val="auto"/>
              <w:outlineLvl w:val="9"/>
              <w:rPr>
                <w:rFonts w:ascii="宋体" w:hAnsi="宋体"/>
                <w:sz w:val="18"/>
                <w:szCs w:val="18"/>
              </w:rPr>
            </w:pPr>
            <w:r>
              <w:rPr>
                <w:rFonts w:hint="eastAsia" w:ascii="宋体" w:hAnsi="宋体"/>
                <w:sz w:val="18"/>
                <w:szCs w:val="18"/>
              </w:rPr>
              <w:t>违法数额比例在30%以上60%以下的</w:t>
            </w:r>
          </w:p>
        </w:tc>
        <w:tc>
          <w:tcPr>
            <w:tcW w:w="3108"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left"/>
              <w:textAlignment w:val="auto"/>
              <w:outlineLvl w:val="9"/>
              <w:rPr>
                <w:rFonts w:ascii="宋体" w:hAnsi="宋体"/>
                <w:sz w:val="18"/>
                <w:szCs w:val="18"/>
              </w:rPr>
            </w:pPr>
            <w:r>
              <w:rPr>
                <w:rFonts w:hint="eastAsia" w:ascii="宋体" w:hAnsi="宋体"/>
                <w:sz w:val="18"/>
                <w:szCs w:val="18"/>
              </w:rPr>
              <w:t>违法数额不足2000万元的，给予“警告并处一万元以上一万五千元以下罚款”；违法数额大于2000万元的，给予“警告并处一万五千元以上两万元以下罚款”</w:t>
            </w:r>
          </w:p>
        </w:tc>
        <w:tc>
          <w:tcPr>
            <w:tcW w:w="708"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center"/>
              <w:textAlignment w:val="auto"/>
              <w:outlineLvl w:val="9"/>
              <w:rPr>
                <w:rFonts w:ascii="宋体" w:hAnsi="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683" w:hRule="exact"/>
        </w:trPr>
        <w:tc>
          <w:tcPr>
            <w:tcW w:w="709" w:type="dxa"/>
            <w:vMerge w:val="continue"/>
            <w:vAlign w:val="center"/>
          </w:tcPr>
          <w:p>
            <w:pPr>
              <w:jc w:val="center"/>
              <w:rPr>
                <w:rFonts w:ascii="宋体" w:hAnsi="宋体"/>
                <w:sz w:val="18"/>
                <w:szCs w:val="18"/>
              </w:rPr>
            </w:pPr>
          </w:p>
        </w:tc>
        <w:tc>
          <w:tcPr>
            <w:tcW w:w="513" w:type="dxa"/>
            <w:vMerge w:val="continue"/>
            <w:vAlign w:val="center"/>
          </w:tcPr>
          <w:p>
            <w:pPr>
              <w:jc w:val="center"/>
              <w:rPr>
                <w:rFonts w:ascii="宋体" w:hAnsi="宋体"/>
                <w:sz w:val="18"/>
                <w:szCs w:val="18"/>
              </w:rPr>
            </w:pPr>
          </w:p>
        </w:tc>
        <w:tc>
          <w:tcPr>
            <w:tcW w:w="780" w:type="dxa"/>
            <w:vMerge w:val="continue"/>
            <w:vAlign w:val="center"/>
          </w:tcPr>
          <w:p>
            <w:pPr>
              <w:jc w:val="center"/>
              <w:rPr>
                <w:rFonts w:ascii="宋体" w:hAnsi="宋体"/>
                <w:sz w:val="18"/>
                <w:szCs w:val="18"/>
              </w:rPr>
            </w:pPr>
          </w:p>
        </w:tc>
        <w:tc>
          <w:tcPr>
            <w:tcW w:w="2220" w:type="dxa"/>
            <w:vMerge w:val="continue"/>
            <w:vAlign w:val="center"/>
          </w:tcPr>
          <w:p>
            <w:pPr>
              <w:jc w:val="center"/>
              <w:rPr>
                <w:rFonts w:ascii="宋体" w:hAnsi="宋体"/>
                <w:sz w:val="18"/>
                <w:szCs w:val="18"/>
              </w:rPr>
            </w:pP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center"/>
              <w:textAlignment w:val="auto"/>
              <w:outlineLvl w:val="9"/>
              <w:rPr>
                <w:rFonts w:ascii="宋体" w:hAnsi="宋体"/>
                <w:sz w:val="18"/>
                <w:szCs w:val="18"/>
              </w:rPr>
            </w:pPr>
            <w:r>
              <w:rPr>
                <w:rFonts w:hint="eastAsia" w:ascii="宋体" w:hAnsi="宋体"/>
                <w:sz w:val="18"/>
                <w:szCs w:val="18"/>
              </w:rPr>
              <w:t>较重</w:t>
            </w: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left"/>
              <w:textAlignment w:val="auto"/>
              <w:outlineLvl w:val="9"/>
              <w:rPr>
                <w:rFonts w:ascii="宋体" w:hAnsi="宋体"/>
                <w:sz w:val="18"/>
                <w:szCs w:val="18"/>
              </w:rPr>
            </w:pPr>
            <w:r>
              <w:rPr>
                <w:rFonts w:hint="eastAsia" w:ascii="宋体" w:hAnsi="宋体"/>
                <w:sz w:val="18"/>
                <w:szCs w:val="18"/>
              </w:rPr>
              <w:t>违法数额比例在60%以上90%以下的</w:t>
            </w:r>
          </w:p>
        </w:tc>
        <w:tc>
          <w:tcPr>
            <w:tcW w:w="3108"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left"/>
              <w:textAlignment w:val="auto"/>
              <w:outlineLvl w:val="9"/>
              <w:rPr>
                <w:rFonts w:ascii="宋体" w:hAnsi="宋体"/>
                <w:sz w:val="18"/>
                <w:szCs w:val="18"/>
              </w:rPr>
            </w:pPr>
            <w:r>
              <w:rPr>
                <w:rFonts w:hint="eastAsia" w:ascii="宋体" w:hAnsi="宋体"/>
                <w:sz w:val="18"/>
                <w:szCs w:val="18"/>
              </w:rPr>
              <w:t>违法数额不足2000万元的，给予“警告并处两万元以上两万五千元以下罚款”；违法数额大于2000万元小于5000万元的，给予“警告并处两万五千元以上三万五千元以下罚款”；违法数额大于5000万元的，给予“警告并处三万五千元以上五万元以下罚款”</w:t>
            </w:r>
          </w:p>
        </w:tc>
        <w:tc>
          <w:tcPr>
            <w:tcW w:w="708"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center"/>
              <w:textAlignment w:val="auto"/>
              <w:outlineLvl w:val="9"/>
              <w:rPr>
                <w:rFonts w:ascii="宋体" w:hAnsi="宋体"/>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167" w:hRule="exact"/>
        </w:trPr>
        <w:tc>
          <w:tcPr>
            <w:tcW w:w="709" w:type="dxa"/>
            <w:vMerge w:val="continue"/>
            <w:vAlign w:val="center"/>
          </w:tcPr>
          <w:p>
            <w:pPr>
              <w:jc w:val="center"/>
              <w:rPr>
                <w:rFonts w:ascii="宋体" w:hAnsi="宋体"/>
                <w:sz w:val="18"/>
                <w:szCs w:val="18"/>
              </w:rPr>
            </w:pPr>
          </w:p>
        </w:tc>
        <w:tc>
          <w:tcPr>
            <w:tcW w:w="513" w:type="dxa"/>
            <w:vMerge w:val="continue"/>
            <w:vAlign w:val="center"/>
          </w:tcPr>
          <w:p>
            <w:pPr>
              <w:jc w:val="center"/>
              <w:rPr>
                <w:rFonts w:ascii="宋体" w:hAnsi="宋体"/>
                <w:sz w:val="18"/>
                <w:szCs w:val="18"/>
              </w:rPr>
            </w:pPr>
          </w:p>
        </w:tc>
        <w:tc>
          <w:tcPr>
            <w:tcW w:w="780" w:type="dxa"/>
            <w:vMerge w:val="continue"/>
            <w:vAlign w:val="center"/>
          </w:tcPr>
          <w:p>
            <w:pPr>
              <w:jc w:val="center"/>
              <w:rPr>
                <w:rFonts w:ascii="宋体" w:hAnsi="宋体"/>
                <w:sz w:val="18"/>
                <w:szCs w:val="18"/>
              </w:rPr>
            </w:pPr>
          </w:p>
        </w:tc>
        <w:tc>
          <w:tcPr>
            <w:tcW w:w="2220" w:type="dxa"/>
            <w:vMerge w:val="continue"/>
            <w:vAlign w:val="center"/>
          </w:tcPr>
          <w:p>
            <w:pPr>
              <w:jc w:val="center"/>
              <w:rPr>
                <w:rFonts w:ascii="宋体" w:hAnsi="宋体"/>
                <w:sz w:val="18"/>
                <w:szCs w:val="18"/>
              </w:rPr>
            </w:pP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center"/>
              <w:textAlignment w:val="auto"/>
              <w:outlineLvl w:val="9"/>
              <w:rPr>
                <w:rFonts w:ascii="宋体" w:hAnsi="宋体"/>
                <w:sz w:val="18"/>
                <w:szCs w:val="18"/>
              </w:rPr>
            </w:pPr>
            <w:r>
              <w:rPr>
                <w:rFonts w:hint="eastAsia" w:ascii="宋体" w:hAnsi="宋体"/>
                <w:sz w:val="18"/>
                <w:szCs w:val="18"/>
              </w:rPr>
              <w:t>严重</w:t>
            </w:r>
          </w:p>
        </w:tc>
        <w:tc>
          <w:tcPr>
            <w:tcW w:w="1485"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left"/>
              <w:textAlignment w:val="auto"/>
              <w:outlineLvl w:val="9"/>
              <w:rPr>
                <w:rFonts w:ascii="宋体" w:hAnsi="宋体"/>
                <w:sz w:val="18"/>
                <w:szCs w:val="18"/>
              </w:rPr>
            </w:pPr>
            <w:r>
              <w:rPr>
                <w:rFonts w:hint="eastAsia" w:ascii="宋体" w:hAnsi="宋体"/>
                <w:sz w:val="18"/>
                <w:szCs w:val="18"/>
              </w:rPr>
              <w:t>违法数额比例在90%以上的；应报数额为0但又提供不真实统计数据，无法计算违法数额比例的</w:t>
            </w:r>
          </w:p>
        </w:tc>
        <w:tc>
          <w:tcPr>
            <w:tcW w:w="3108"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left"/>
              <w:textAlignment w:val="auto"/>
              <w:outlineLvl w:val="9"/>
              <w:rPr>
                <w:rFonts w:ascii="宋体" w:hAnsi="宋体"/>
                <w:sz w:val="18"/>
                <w:szCs w:val="18"/>
              </w:rPr>
            </w:pPr>
            <w:r>
              <w:rPr>
                <w:rFonts w:hint="eastAsia" w:ascii="宋体" w:hAnsi="宋体"/>
                <w:sz w:val="18"/>
                <w:szCs w:val="18"/>
              </w:rPr>
              <w:t>违法数额不足2000万元的，给予“警告并处五万元以上六万元以下罚款”；违法数额大于2000万元小于5000万元的，给予“警告并处六万元以上八万元以下罚款”；违法数额大于5000万元小于1亿元的，给予“警告并处八万元以上十二万元以下罚款”；违法数额大于1亿元的，给予“警告并处十二万元以上二十万元以下罚款”</w:t>
            </w:r>
          </w:p>
        </w:tc>
        <w:tc>
          <w:tcPr>
            <w:tcW w:w="708"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center"/>
              <w:textAlignment w:val="auto"/>
              <w:outlineLvl w:val="9"/>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347" w:hRule="exact"/>
        </w:trPr>
        <w:tc>
          <w:tcPr>
            <w:tcW w:w="709" w:type="dxa"/>
            <w:vMerge w:val="continue"/>
            <w:vAlign w:val="center"/>
          </w:tcPr>
          <w:p>
            <w:pPr>
              <w:jc w:val="center"/>
              <w:rPr>
                <w:rFonts w:ascii="宋体" w:hAnsi="宋体"/>
                <w:sz w:val="18"/>
                <w:szCs w:val="18"/>
              </w:rPr>
            </w:pPr>
          </w:p>
        </w:tc>
        <w:tc>
          <w:tcPr>
            <w:tcW w:w="513" w:type="dxa"/>
            <w:vMerge w:val="continue"/>
            <w:vAlign w:val="center"/>
          </w:tcPr>
          <w:p>
            <w:pPr>
              <w:jc w:val="center"/>
              <w:rPr>
                <w:rFonts w:ascii="宋体" w:hAnsi="宋体"/>
                <w:sz w:val="18"/>
                <w:szCs w:val="18"/>
              </w:rPr>
            </w:pPr>
          </w:p>
        </w:tc>
        <w:tc>
          <w:tcPr>
            <w:tcW w:w="780" w:type="dxa"/>
            <w:vMerge w:val="continue"/>
            <w:vAlign w:val="center"/>
          </w:tcPr>
          <w:p>
            <w:pPr>
              <w:jc w:val="center"/>
              <w:rPr>
                <w:rFonts w:ascii="宋体" w:hAnsi="宋体"/>
                <w:sz w:val="18"/>
                <w:szCs w:val="18"/>
              </w:rPr>
            </w:pPr>
          </w:p>
        </w:tc>
        <w:tc>
          <w:tcPr>
            <w:tcW w:w="2220" w:type="dxa"/>
            <w:vMerge w:val="continue"/>
            <w:vAlign w:val="center"/>
          </w:tcPr>
          <w:p>
            <w:pPr>
              <w:jc w:val="center"/>
              <w:rPr>
                <w:rFonts w:ascii="宋体" w:hAnsi="宋体"/>
                <w:sz w:val="18"/>
                <w:szCs w:val="18"/>
              </w:rPr>
            </w:pP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center"/>
              <w:textAlignment w:val="auto"/>
              <w:outlineLvl w:val="9"/>
              <w:rPr>
                <w:rFonts w:hint="eastAsia" w:ascii="宋体" w:hAnsi="宋体"/>
                <w:sz w:val="18"/>
                <w:szCs w:val="18"/>
              </w:rPr>
            </w:pPr>
            <w:r>
              <w:rPr>
                <w:rFonts w:hint="eastAsia" w:ascii="宋体" w:hAnsi="宋体"/>
                <w:sz w:val="18"/>
                <w:szCs w:val="18"/>
              </w:rPr>
              <w:t>特别严重</w:t>
            </w:r>
          </w:p>
        </w:tc>
        <w:tc>
          <w:tcPr>
            <w:tcW w:w="1485" w:type="dxa"/>
            <w:vAlign w:val="center"/>
          </w:tcPr>
          <w:p>
            <w:pPr>
              <w:keepNext w:val="0"/>
              <w:keepLines w:val="0"/>
              <w:pageBreakBefore w:val="0"/>
              <w:widowControl/>
              <w:kinsoku/>
              <w:wordWrap/>
              <w:overflowPunct/>
              <w:topLinePunct w:val="0"/>
              <w:autoSpaceDE/>
              <w:autoSpaceDN/>
              <w:bidi w:val="0"/>
              <w:adjustRightInd/>
              <w:snapToGrid/>
              <w:spacing w:before="75" w:line="220" w:lineRule="exact"/>
              <w:ind w:left="0" w:leftChars="0" w:right="0" w:rightChars="0" w:firstLine="0" w:firstLineChars="0"/>
              <w:jc w:val="both"/>
              <w:textAlignment w:val="auto"/>
              <w:outlineLvl w:val="9"/>
              <w:rPr>
                <w:rFonts w:hint="eastAsia" w:ascii="宋体" w:hAnsi="宋体"/>
                <w:sz w:val="18"/>
                <w:szCs w:val="18"/>
              </w:rPr>
            </w:pPr>
            <w:r>
              <w:rPr>
                <w:rFonts w:hint="eastAsia" w:ascii="宋体" w:hAnsi="宋体"/>
                <w:sz w:val="18"/>
                <w:szCs w:val="18"/>
              </w:rPr>
              <w:t>有下列情形之一的，且不适用于认定为“非自身原因提供不真实统计资料的行为”的减轻情节的：（1）违法数额达到所在行政区域（县级行政区域）该指标上年同期总额的1%以上；（2）违法数额大于50亿元；（3）违法行为当事人在执法检查过程中使用暴力或者威胁方法拒绝、阻碍执法检查或者拒绝、阻碍执法检查，严重影响相关工作正常开展的</w:t>
            </w:r>
          </w:p>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left"/>
              <w:textAlignment w:val="auto"/>
              <w:outlineLvl w:val="9"/>
              <w:rPr>
                <w:rFonts w:hint="eastAsia" w:ascii="宋体" w:hAnsi="宋体"/>
                <w:sz w:val="18"/>
                <w:szCs w:val="18"/>
              </w:rPr>
            </w:pPr>
          </w:p>
        </w:tc>
        <w:tc>
          <w:tcPr>
            <w:tcW w:w="3108"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left"/>
              <w:textAlignment w:val="auto"/>
              <w:outlineLvl w:val="9"/>
              <w:rPr>
                <w:rFonts w:hint="eastAsia" w:ascii="宋体" w:hAnsi="宋体"/>
                <w:sz w:val="18"/>
                <w:szCs w:val="18"/>
              </w:rPr>
            </w:pPr>
            <w:r>
              <w:rPr>
                <w:rFonts w:hint="eastAsia" w:ascii="宋体" w:hAnsi="宋体"/>
                <w:sz w:val="18"/>
                <w:szCs w:val="18"/>
              </w:rPr>
              <w:t>警告并处二十万元罚款</w:t>
            </w:r>
          </w:p>
        </w:tc>
        <w:tc>
          <w:tcPr>
            <w:tcW w:w="708" w:type="dxa"/>
            <w:vAlign w:val="center"/>
          </w:tcPr>
          <w:p>
            <w:pPr>
              <w:keepNext w:val="0"/>
              <w:keepLines w:val="0"/>
              <w:pageBreakBefore w:val="0"/>
              <w:widowControl w:val="0"/>
              <w:kinsoku/>
              <w:wordWrap/>
              <w:overflowPunct/>
              <w:topLinePunct w:val="0"/>
              <w:autoSpaceDE/>
              <w:autoSpaceDN/>
              <w:bidi w:val="0"/>
              <w:adjustRightInd/>
              <w:snapToGrid/>
              <w:spacing w:line="220" w:lineRule="exact"/>
              <w:ind w:left="0" w:leftChars="0" w:right="0" w:rightChars="0" w:firstLine="0" w:firstLineChars="0"/>
              <w:jc w:val="center"/>
              <w:textAlignment w:val="auto"/>
              <w:outlineLvl w:val="9"/>
              <w:rPr>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64" w:hRule="exact"/>
        </w:trPr>
        <w:tc>
          <w:tcPr>
            <w:tcW w:w="709" w:type="dxa"/>
            <w:vAlign w:val="center"/>
          </w:tcPr>
          <w:p>
            <w:pPr>
              <w:jc w:val="center"/>
              <w:rPr>
                <w:b/>
                <w:sz w:val="24"/>
                <w:szCs w:val="24"/>
              </w:rPr>
            </w:pPr>
            <w:r>
              <w:rPr>
                <w:rFonts w:hint="eastAsia"/>
                <w:b/>
                <w:sz w:val="24"/>
                <w:szCs w:val="24"/>
              </w:rPr>
              <w:t>类别</w:t>
            </w:r>
          </w:p>
        </w:tc>
        <w:tc>
          <w:tcPr>
            <w:tcW w:w="513" w:type="dxa"/>
            <w:vAlign w:val="center"/>
          </w:tcPr>
          <w:p>
            <w:pPr>
              <w:jc w:val="center"/>
              <w:rPr>
                <w:b/>
                <w:sz w:val="24"/>
                <w:szCs w:val="24"/>
              </w:rPr>
            </w:pPr>
            <w:r>
              <w:rPr>
                <w:rFonts w:hint="eastAsia"/>
                <w:b/>
                <w:sz w:val="24"/>
                <w:szCs w:val="24"/>
              </w:rPr>
              <w:t>序号</w:t>
            </w:r>
          </w:p>
        </w:tc>
        <w:tc>
          <w:tcPr>
            <w:tcW w:w="780" w:type="dxa"/>
            <w:vAlign w:val="center"/>
          </w:tcPr>
          <w:p>
            <w:pPr>
              <w:jc w:val="center"/>
              <w:rPr>
                <w:b/>
                <w:sz w:val="24"/>
                <w:szCs w:val="24"/>
              </w:rPr>
            </w:pPr>
            <w:r>
              <w:rPr>
                <w:rFonts w:hint="eastAsia"/>
                <w:b/>
                <w:sz w:val="24"/>
                <w:szCs w:val="24"/>
              </w:rPr>
              <w:t>违法行为</w:t>
            </w:r>
          </w:p>
        </w:tc>
        <w:tc>
          <w:tcPr>
            <w:tcW w:w="2220" w:type="dxa"/>
            <w:vAlign w:val="center"/>
          </w:tcPr>
          <w:p>
            <w:pPr>
              <w:jc w:val="center"/>
              <w:rPr>
                <w:b/>
                <w:sz w:val="24"/>
                <w:szCs w:val="24"/>
              </w:rPr>
            </w:pPr>
            <w:r>
              <w:rPr>
                <w:rFonts w:hint="eastAsia"/>
                <w:b/>
                <w:sz w:val="24"/>
                <w:szCs w:val="24"/>
              </w:rPr>
              <w:t>处罚依据</w:t>
            </w:r>
          </w:p>
        </w:tc>
        <w:tc>
          <w:tcPr>
            <w:tcW w:w="825" w:type="dxa"/>
            <w:vAlign w:val="center"/>
          </w:tcPr>
          <w:p>
            <w:pPr>
              <w:jc w:val="center"/>
              <w:rPr>
                <w:b/>
                <w:sz w:val="24"/>
                <w:szCs w:val="24"/>
              </w:rPr>
            </w:pPr>
            <w:r>
              <w:rPr>
                <w:rFonts w:hint="eastAsia"/>
                <w:b/>
                <w:sz w:val="24"/>
                <w:szCs w:val="24"/>
              </w:rPr>
              <w:t>裁量档次</w:t>
            </w:r>
          </w:p>
        </w:tc>
        <w:tc>
          <w:tcPr>
            <w:tcW w:w="1485" w:type="dxa"/>
            <w:vAlign w:val="center"/>
          </w:tcPr>
          <w:p>
            <w:pPr>
              <w:jc w:val="center"/>
              <w:rPr>
                <w:b/>
                <w:sz w:val="24"/>
                <w:szCs w:val="24"/>
              </w:rPr>
            </w:pPr>
            <w:r>
              <w:rPr>
                <w:rFonts w:hint="eastAsia"/>
                <w:b/>
                <w:sz w:val="24"/>
                <w:szCs w:val="24"/>
              </w:rPr>
              <w:t>违法行为表现形式</w:t>
            </w:r>
          </w:p>
        </w:tc>
        <w:tc>
          <w:tcPr>
            <w:tcW w:w="3108" w:type="dxa"/>
            <w:vAlign w:val="center"/>
          </w:tcPr>
          <w:p>
            <w:pPr>
              <w:jc w:val="center"/>
              <w:rPr>
                <w:b/>
                <w:sz w:val="24"/>
                <w:szCs w:val="24"/>
              </w:rPr>
            </w:pPr>
            <w:r>
              <w:rPr>
                <w:rFonts w:hint="eastAsia"/>
                <w:b/>
                <w:sz w:val="24"/>
                <w:szCs w:val="24"/>
              </w:rPr>
              <w:t>裁量标准</w:t>
            </w:r>
          </w:p>
        </w:tc>
        <w:tc>
          <w:tcPr>
            <w:tcW w:w="708" w:type="dxa"/>
            <w:vAlign w:val="center"/>
          </w:tcPr>
          <w:p>
            <w:pPr>
              <w:jc w:val="center"/>
              <w:rPr>
                <w:b/>
                <w:sz w:val="24"/>
                <w:szCs w:val="24"/>
              </w:rPr>
            </w:pPr>
            <w:r>
              <w:rPr>
                <w:rFonts w:hint="eastAsia"/>
                <w:b/>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83" w:hRule="exact"/>
        </w:trPr>
        <w:tc>
          <w:tcPr>
            <w:tcW w:w="709" w:type="dxa"/>
            <w:vMerge w:val="restart"/>
            <w:vAlign w:val="center"/>
          </w:tcPr>
          <w:p>
            <w:pPr>
              <w:jc w:val="center"/>
              <w:rPr>
                <w:rFonts w:hint="eastAsia" w:ascii="宋体" w:hAnsi="宋体"/>
                <w:szCs w:val="21"/>
                <w:lang w:eastAsia="zh-CN"/>
              </w:rPr>
            </w:pPr>
            <w:r>
              <w:rPr>
                <w:rFonts w:hint="eastAsia" w:ascii="宋体" w:hAnsi="宋体"/>
                <w:szCs w:val="21"/>
                <w:lang w:eastAsia="zh-CN"/>
              </w:rPr>
              <w:t>统</w:t>
            </w:r>
          </w:p>
          <w:p>
            <w:pPr>
              <w:jc w:val="center"/>
              <w:rPr>
                <w:rFonts w:hint="eastAsia" w:ascii="宋体" w:hAnsi="宋体"/>
                <w:szCs w:val="21"/>
                <w:lang w:eastAsia="zh-CN"/>
              </w:rPr>
            </w:pPr>
            <w:r>
              <w:rPr>
                <w:rFonts w:hint="eastAsia" w:ascii="宋体" w:hAnsi="宋体"/>
                <w:szCs w:val="21"/>
                <w:lang w:eastAsia="zh-CN"/>
              </w:rPr>
              <w:t>计</w:t>
            </w:r>
          </w:p>
          <w:p>
            <w:pPr>
              <w:jc w:val="center"/>
              <w:rPr>
                <w:rFonts w:hint="eastAsia" w:ascii="宋体" w:hAnsi="宋体"/>
                <w:szCs w:val="21"/>
              </w:rPr>
            </w:pPr>
            <w:r>
              <w:rPr>
                <w:rFonts w:hint="eastAsia" w:ascii="宋体" w:hAnsi="宋体"/>
                <w:szCs w:val="21"/>
              </w:rPr>
              <w:t>管</w:t>
            </w:r>
          </w:p>
          <w:p>
            <w:pPr>
              <w:jc w:val="center"/>
              <w:rPr>
                <w:rFonts w:ascii="宋体" w:hAnsi="宋体"/>
                <w:szCs w:val="21"/>
              </w:rPr>
            </w:pPr>
            <w:r>
              <w:rPr>
                <w:rFonts w:hint="eastAsia" w:ascii="宋体" w:hAnsi="宋体"/>
                <w:szCs w:val="21"/>
              </w:rPr>
              <w:t>理</w:t>
            </w:r>
          </w:p>
        </w:tc>
        <w:tc>
          <w:tcPr>
            <w:tcW w:w="513" w:type="dxa"/>
            <w:vMerge w:val="restart"/>
            <w:vAlign w:val="center"/>
          </w:tcPr>
          <w:p>
            <w:pPr>
              <w:jc w:val="center"/>
              <w:rPr>
                <w:rFonts w:ascii="宋体" w:hAnsi="宋体"/>
                <w:szCs w:val="21"/>
              </w:rPr>
            </w:pPr>
            <w:r>
              <w:rPr>
                <w:rFonts w:hint="eastAsia" w:ascii="宋体" w:hAnsi="宋体"/>
                <w:szCs w:val="21"/>
              </w:rPr>
              <w:t>2</w:t>
            </w:r>
          </w:p>
        </w:tc>
        <w:tc>
          <w:tcPr>
            <w:tcW w:w="780" w:type="dxa"/>
            <w:vMerge w:val="restart"/>
            <w:vAlign w:val="center"/>
          </w:tcPr>
          <w:p>
            <w:pPr>
              <w:jc w:val="left"/>
              <w:rPr>
                <w:rFonts w:ascii="宋体" w:hAnsi="宋体"/>
                <w:szCs w:val="21"/>
              </w:rPr>
            </w:pPr>
            <w:r>
              <w:rPr>
                <w:rFonts w:hint="eastAsia" w:ascii="宋体" w:hAnsi="宋体"/>
                <w:szCs w:val="21"/>
              </w:rPr>
              <w:t>企业事业单位或者其他组织拒绝提供统计资料或者经催报后仍未按时提供统计资料的</w:t>
            </w:r>
          </w:p>
        </w:tc>
        <w:tc>
          <w:tcPr>
            <w:tcW w:w="2220" w:type="dxa"/>
            <w:vMerge w:val="restart"/>
            <w:vAlign w:val="center"/>
          </w:tcPr>
          <w:p>
            <w:pPr>
              <w:jc w:val="both"/>
              <w:rPr>
                <w:rFonts w:ascii="宋体" w:hAnsi="宋体"/>
                <w:szCs w:val="21"/>
              </w:rPr>
            </w:pPr>
            <w:r>
              <w:rPr>
                <w:rFonts w:hint="eastAsia" w:ascii="宋体" w:hAnsi="宋体"/>
                <w:sz w:val="18"/>
                <w:szCs w:val="18"/>
                <w:lang w:eastAsia="zh-CN"/>
              </w:rPr>
              <w:t>《中华人民共和国统计法》第四十一条：“</w:t>
            </w:r>
            <w:r>
              <w:rPr>
                <w:rFonts w:hint="eastAsia" w:ascii="宋体" w:hAnsi="宋体"/>
                <w:sz w:val="18"/>
                <w:szCs w:val="18"/>
              </w:rPr>
              <w:t>作为统计调查对象的国家机关、企业事业单位或者其他组织有下列行为之一的，由县级以上人民政府统计机构责令改正，给予警告，可以予以通报；其直接负责的主管人员和其他直接责任人员属于国家工作人员的，由任免机关或者监察机关依法给予处分：（一）拒绝提供统计资料或者经催报后仍未按时提供统计资料的；（二）提供不真实或者不完整的统计资料的；（三）拒绝答复或者不如实答复统计检查查询书的；（四）拒绝、阻碍统计调查、统计检查的；（五）转移、隐匿、篡改、毁弃或者拒绝提供原始记录和凭证、统计台账、统计调查表及其他相关证明和资料的。 企业事业单位或者其他组织有前款所列行为之一的，可以并处五万元以下的罚款；情节严重的，并处五万元以上二十万元以下的罚款。个体工商户有本条第一款所列行为之一的，由县级以上人民政府统计机构责令改正，给予警告，可以并处一万元以下的罚款</w:t>
            </w:r>
            <w:r>
              <w:rPr>
                <w:rFonts w:hint="eastAsia" w:ascii="宋体" w:hAnsi="宋体"/>
                <w:sz w:val="18"/>
                <w:szCs w:val="18"/>
                <w:lang w:eastAsia="zh-CN"/>
              </w:rPr>
              <w:t>”</w:t>
            </w:r>
            <w:r>
              <w:rPr>
                <w:rFonts w:hint="eastAsia" w:ascii="宋体" w:hAnsi="宋体"/>
                <w:sz w:val="18"/>
                <w:szCs w:val="18"/>
              </w:rPr>
              <w:t>。</w:t>
            </w:r>
          </w:p>
        </w:tc>
        <w:tc>
          <w:tcPr>
            <w:tcW w:w="825" w:type="dxa"/>
            <w:tcBorders>
              <w:bottom w:val="single" w:color="auto" w:sz="4" w:space="0"/>
            </w:tcBorders>
            <w:vAlign w:val="center"/>
          </w:tcPr>
          <w:p>
            <w:pPr>
              <w:jc w:val="center"/>
              <w:rPr>
                <w:rFonts w:hint="eastAsia" w:ascii="宋体" w:hAnsi="宋体" w:eastAsia="宋体"/>
                <w:szCs w:val="21"/>
                <w:lang w:eastAsia="zh-CN"/>
              </w:rPr>
            </w:pPr>
            <w:r>
              <w:rPr>
                <w:rFonts w:hint="eastAsia" w:ascii="宋体" w:hAnsi="宋体"/>
                <w:szCs w:val="21"/>
                <w:lang w:eastAsia="zh-CN"/>
              </w:rPr>
              <w:t>轻微</w:t>
            </w:r>
          </w:p>
        </w:tc>
        <w:tc>
          <w:tcPr>
            <w:tcW w:w="1485" w:type="dxa"/>
            <w:tcBorders>
              <w:bottom w:val="single" w:color="auto" w:sz="4" w:space="0"/>
            </w:tcBorders>
            <w:vAlign w:val="center"/>
          </w:tcPr>
          <w:p>
            <w:pPr>
              <w:widowControl/>
              <w:spacing w:before="75" w:line="360" w:lineRule="exact"/>
              <w:jc w:val="left"/>
              <w:rPr>
                <w:rFonts w:hint="eastAsia" w:ascii="宋体" w:hAnsi="宋体"/>
                <w:szCs w:val="21"/>
              </w:rPr>
            </w:pPr>
            <w:r>
              <w:rPr>
                <w:rFonts w:hint="eastAsia" w:ascii="宋体" w:hAnsi="宋体"/>
                <w:szCs w:val="21"/>
              </w:rPr>
              <w:t>一年内出现1次的</w:t>
            </w:r>
          </w:p>
        </w:tc>
        <w:tc>
          <w:tcPr>
            <w:tcW w:w="3108" w:type="dxa"/>
            <w:tcBorders>
              <w:bottom w:val="single" w:color="auto" w:sz="4" w:space="0"/>
            </w:tcBorders>
            <w:vAlign w:val="center"/>
          </w:tcPr>
          <w:p>
            <w:pPr>
              <w:jc w:val="left"/>
              <w:rPr>
                <w:rFonts w:hint="eastAsia" w:ascii="宋体" w:hAnsi="宋体"/>
                <w:szCs w:val="21"/>
              </w:rPr>
            </w:pPr>
            <w:r>
              <w:rPr>
                <w:rFonts w:hint="eastAsia" w:ascii="宋体" w:hAnsi="宋体"/>
                <w:szCs w:val="21"/>
              </w:rPr>
              <w:t>给予“警告并处一万元以下罚款”</w:t>
            </w:r>
          </w:p>
        </w:tc>
        <w:tc>
          <w:tcPr>
            <w:tcW w:w="708" w:type="dxa"/>
            <w:tcBorders>
              <w:bottom w:val="single" w:color="auto" w:sz="4" w:space="0"/>
            </w:tcBorders>
            <w:vAlign w:val="center"/>
          </w:tcPr>
          <w:p>
            <w:pPr>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28" w:hRule="exact"/>
        </w:trPr>
        <w:tc>
          <w:tcPr>
            <w:tcW w:w="709" w:type="dxa"/>
            <w:vMerge w:val="continue"/>
            <w:vAlign w:val="center"/>
          </w:tcPr>
          <w:p>
            <w:pPr>
              <w:jc w:val="center"/>
              <w:rPr>
                <w:rFonts w:hint="eastAsia" w:ascii="宋体" w:hAnsi="宋体"/>
                <w:szCs w:val="21"/>
              </w:rPr>
            </w:pPr>
          </w:p>
        </w:tc>
        <w:tc>
          <w:tcPr>
            <w:tcW w:w="513" w:type="dxa"/>
            <w:vMerge w:val="continue"/>
            <w:vAlign w:val="center"/>
          </w:tcPr>
          <w:p>
            <w:pPr>
              <w:jc w:val="center"/>
              <w:rPr>
                <w:rFonts w:hint="eastAsia" w:ascii="宋体" w:hAnsi="宋体"/>
                <w:szCs w:val="21"/>
              </w:rPr>
            </w:pPr>
          </w:p>
        </w:tc>
        <w:tc>
          <w:tcPr>
            <w:tcW w:w="780" w:type="dxa"/>
            <w:vMerge w:val="continue"/>
            <w:vAlign w:val="center"/>
          </w:tcPr>
          <w:p>
            <w:pPr>
              <w:jc w:val="left"/>
              <w:rPr>
                <w:rFonts w:hint="eastAsia" w:ascii="宋体" w:hAnsi="宋体"/>
                <w:szCs w:val="21"/>
              </w:rPr>
            </w:pPr>
          </w:p>
        </w:tc>
        <w:tc>
          <w:tcPr>
            <w:tcW w:w="2220" w:type="dxa"/>
            <w:vMerge w:val="continue"/>
            <w:vAlign w:val="center"/>
          </w:tcPr>
          <w:p>
            <w:pPr>
              <w:jc w:val="center"/>
              <w:rPr>
                <w:rFonts w:hint="eastAsia" w:ascii="宋体" w:hAnsi="宋体"/>
                <w:szCs w:val="21"/>
              </w:rPr>
            </w:pPr>
          </w:p>
        </w:tc>
        <w:tc>
          <w:tcPr>
            <w:tcW w:w="825" w:type="dxa"/>
            <w:tcBorders>
              <w:top w:val="single" w:color="auto" w:sz="4" w:space="0"/>
              <w:bottom w:val="single" w:color="auto" w:sz="4" w:space="0"/>
            </w:tcBorders>
            <w:vAlign w:val="center"/>
          </w:tcPr>
          <w:p>
            <w:pPr>
              <w:jc w:val="center"/>
              <w:rPr>
                <w:rFonts w:hint="eastAsia" w:ascii="宋体" w:hAnsi="宋体" w:eastAsia="宋体"/>
                <w:szCs w:val="21"/>
                <w:lang w:eastAsia="zh-CN"/>
              </w:rPr>
            </w:pPr>
            <w:r>
              <w:rPr>
                <w:rFonts w:hint="eastAsia" w:ascii="宋体" w:hAnsi="宋体"/>
                <w:szCs w:val="21"/>
                <w:lang w:eastAsia="zh-CN"/>
              </w:rPr>
              <w:t>一般</w:t>
            </w:r>
          </w:p>
        </w:tc>
        <w:tc>
          <w:tcPr>
            <w:tcW w:w="1485" w:type="dxa"/>
            <w:tcBorders>
              <w:top w:val="single" w:color="auto" w:sz="4" w:space="0"/>
              <w:bottom w:val="single" w:color="auto" w:sz="4" w:space="0"/>
            </w:tcBorders>
            <w:vAlign w:val="center"/>
          </w:tcPr>
          <w:p>
            <w:pPr>
              <w:widowControl/>
              <w:spacing w:before="75" w:line="360" w:lineRule="exact"/>
              <w:jc w:val="left"/>
              <w:rPr>
                <w:rFonts w:hint="eastAsia" w:ascii="宋体" w:hAnsi="宋体"/>
                <w:szCs w:val="21"/>
              </w:rPr>
            </w:pPr>
            <w:r>
              <w:rPr>
                <w:rFonts w:hint="eastAsia" w:ascii="宋体" w:hAnsi="宋体"/>
                <w:szCs w:val="21"/>
              </w:rPr>
              <w:t>一年内出现2次的</w:t>
            </w:r>
          </w:p>
        </w:tc>
        <w:tc>
          <w:tcPr>
            <w:tcW w:w="3108" w:type="dxa"/>
            <w:tcBorders>
              <w:top w:val="single" w:color="auto" w:sz="4" w:space="0"/>
              <w:bottom w:val="single" w:color="auto" w:sz="4" w:space="0"/>
            </w:tcBorders>
            <w:vAlign w:val="center"/>
          </w:tcPr>
          <w:p>
            <w:pPr>
              <w:jc w:val="left"/>
              <w:rPr>
                <w:rFonts w:hint="eastAsia" w:ascii="宋体" w:hAnsi="宋体"/>
                <w:szCs w:val="21"/>
              </w:rPr>
            </w:pPr>
            <w:r>
              <w:rPr>
                <w:rFonts w:hint="eastAsia" w:ascii="宋体" w:hAnsi="宋体"/>
                <w:szCs w:val="21"/>
              </w:rPr>
              <w:t>给予“警告并处一万元以上五万元元以下罚款”</w:t>
            </w:r>
          </w:p>
        </w:tc>
        <w:tc>
          <w:tcPr>
            <w:tcW w:w="708" w:type="dxa"/>
            <w:tcBorders>
              <w:top w:val="single" w:color="auto" w:sz="4" w:space="0"/>
              <w:bottom w:val="single" w:color="auto" w:sz="4" w:space="0"/>
            </w:tcBorders>
            <w:vAlign w:val="center"/>
          </w:tcPr>
          <w:p>
            <w:pPr>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83" w:hRule="exact"/>
        </w:trPr>
        <w:tc>
          <w:tcPr>
            <w:tcW w:w="709" w:type="dxa"/>
            <w:vMerge w:val="continue"/>
            <w:vAlign w:val="center"/>
          </w:tcPr>
          <w:p>
            <w:pPr>
              <w:jc w:val="center"/>
              <w:rPr>
                <w:rFonts w:hint="eastAsia" w:ascii="宋体" w:hAnsi="宋体"/>
                <w:szCs w:val="21"/>
              </w:rPr>
            </w:pPr>
          </w:p>
        </w:tc>
        <w:tc>
          <w:tcPr>
            <w:tcW w:w="513" w:type="dxa"/>
            <w:vMerge w:val="continue"/>
            <w:vAlign w:val="center"/>
          </w:tcPr>
          <w:p>
            <w:pPr>
              <w:jc w:val="center"/>
              <w:rPr>
                <w:rFonts w:hint="eastAsia" w:ascii="宋体" w:hAnsi="宋体"/>
                <w:szCs w:val="21"/>
              </w:rPr>
            </w:pPr>
          </w:p>
        </w:tc>
        <w:tc>
          <w:tcPr>
            <w:tcW w:w="780" w:type="dxa"/>
            <w:vMerge w:val="continue"/>
            <w:vAlign w:val="center"/>
          </w:tcPr>
          <w:p>
            <w:pPr>
              <w:jc w:val="left"/>
              <w:rPr>
                <w:rFonts w:hint="eastAsia" w:ascii="宋体" w:hAnsi="宋体"/>
                <w:szCs w:val="21"/>
              </w:rPr>
            </w:pPr>
          </w:p>
        </w:tc>
        <w:tc>
          <w:tcPr>
            <w:tcW w:w="2220" w:type="dxa"/>
            <w:vMerge w:val="continue"/>
            <w:vAlign w:val="center"/>
          </w:tcPr>
          <w:p>
            <w:pPr>
              <w:jc w:val="center"/>
              <w:rPr>
                <w:rFonts w:hint="eastAsia" w:ascii="宋体" w:hAnsi="宋体"/>
                <w:szCs w:val="21"/>
              </w:rPr>
            </w:pPr>
          </w:p>
        </w:tc>
        <w:tc>
          <w:tcPr>
            <w:tcW w:w="825" w:type="dxa"/>
            <w:tcBorders>
              <w:top w:val="single" w:color="auto" w:sz="4" w:space="0"/>
            </w:tcBorders>
            <w:vAlign w:val="center"/>
          </w:tcPr>
          <w:p>
            <w:pPr>
              <w:jc w:val="center"/>
              <w:rPr>
                <w:rFonts w:hint="eastAsia" w:ascii="宋体" w:hAnsi="宋体" w:eastAsia="宋体"/>
                <w:szCs w:val="21"/>
                <w:lang w:eastAsia="zh-CN"/>
              </w:rPr>
            </w:pPr>
            <w:r>
              <w:rPr>
                <w:rFonts w:hint="eastAsia" w:ascii="宋体" w:hAnsi="宋体"/>
                <w:szCs w:val="21"/>
                <w:lang w:eastAsia="zh-CN"/>
              </w:rPr>
              <w:t>严重</w:t>
            </w:r>
          </w:p>
        </w:tc>
        <w:tc>
          <w:tcPr>
            <w:tcW w:w="1485" w:type="dxa"/>
            <w:tcBorders>
              <w:top w:val="single" w:color="auto" w:sz="4" w:space="0"/>
            </w:tcBorders>
            <w:vAlign w:val="center"/>
          </w:tcPr>
          <w:p>
            <w:pPr>
              <w:widowControl/>
              <w:spacing w:before="75" w:line="360" w:lineRule="exact"/>
              <w:jc w:val="left"/>
              <w:rPr>
                <w:rFonts w:hint="eastAsia" w:ascii="宋体" w:hAnsi="宋体"/>
                <w:szCs w:val="21"/>
              </w:rPr>
            </w:pPr>
            <w:r>
              <w:rPr>
                <w:rFonts w:hint="eastAsia" w:ascii="宋体" w:hAnsi="宋体"/>
                <w:szCs w:val="21"/>
              </w:rPr>
              <w:t>一年内出现3次以上的</w:t>
            </w:r>
          </w:p>
        </w:tc>
        <w:tc>
          <w:tcPr>
            <w:tcW w:w="3108" w:type="dxa"/>
            <w:tcBorders>
              <w:top w:val="single" w:color="auto" w:sz="4" w:space="0"/>
            </w:tcBorders>
            <w:vAlign w:val="center"/>
          </w:tcPr>
          <w:p>
            <w:pPr>
              <w:jc w:val="left"/>
              <w:rPr>
                <w:rFonts w:hint="eastAsia" w:ascii="宋体" w:hAnsi="宋体"/>
                <w:szCs w:val="21"/>
              </w:rPr>
            </w:pPr>
            <w:r>
              <w:rPr>
                <w:rFonts w:hint="eastAsia" w:ascii="宋体" w:hAnsi="宋体"/>
                <w:szCs w:val="21"/>
              </w:rPr>
              <w:t>给予“警告并处五万元以上二十万元以下罚款”</w:t>
            </w:r>
          </w:p>
        </w:tc>
        <w:tc>
          <w:tcPr>
            <w:tcW w:w="708" w:type="dxa"/>
            <w:tcBorders>
              <w:top w:val="single" w:color="auto" w:sz="4" w:space="0"/>
            </w:tcBorders>
            <w:vAlign w:val="center"/>
          </w:tcPr>
          <w:p>
            <w:pPr>
              <w:jc w:val="center"/>
            </w:pPr>
          </w:p>
        </w:tc>
      </w:tr>
    </w:tbl>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tbl>
      <w:tblPr>
        <w:tblStyle w:val="6"/>
        <w:tblW w:w="10348" w:type="dxa"/>
        <w:tblInd w:w="-6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709"/>
        <w:gridCol w:w="1276"/>
        <w:gridCol w:w="1684"/>
        <w:gridCol w:w="1515"/>
        <w:gridCol w:w="1365"/>
        <w:gridCol w:w="2382"/>
        <w:gridCol w:w="7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19" w:hRule="exact"/>
        </w:trPr>
        <w:tc>
          <w:tcPr>
            <w:tcW w:w="709" w:type="dxa"/>
            <w:vAlign w:val="center"/>
          </w:tcPr>
          <w:p>
            <w:pPr>
              <w:jc w:val="center"/>
              <w:rPr>
                <w:b/>
                <w:sz w:val="24"/>
                <w:szCs w:val="24"/>
              </w:rPr>
            </w:pPr>
            <w:r>
              <w:rPr>
                <w:rFonts w:hint="eastAsia"/>
                <w:b/>
                <w:sz w:val="24"/>
                <w:szCs w:val="24"/>
              </w:rPr>
              <w:t>类别</w:t>
            </w:r>
          </w:p>
        </w:tc>
        <w:tc>
          <w:tcPr>
            <w:tcW w:w="709" w:type="dxa"/>
            <w:vAlign w:val="center"/>
          </w:tcPr>
          <w:p>
            <w:pPr>
              <w:jc w:val="center"/>
              <w:rPr>
                <w:b/>
                <w:sz w:val="24"/>
                <w:szCs w:val="24"/>
              </w:rPr>
            </w:pPr>
            <w:r>
              <w:rPr>
                <w:rFonts w:hint="eastAsia"/>
                <w:b/>
                <w:sz w:val="24"/>
                <w:szCs w:val="24"/>
              </w:rPr>
              <w:t>序号</w:t>
            </w:r>
          </w:p>
        </w:tc>
        <w:tc>
          <w:tcPr>
            <w:tcW w:w="1276" w:type="dxa"/>
            <w:vAlign w:val="center"/>
          </w:tcPr>
          <w:p>
            <w:pPr>
              <w:jc w:val="center"/>
              <w:rPr>
                <w:b/>
                <w:sz w:val="24"/>
                <w:szCs w:val="24"/>
              </w:rPr>
            </w:pPr>
            <w:r>
              <w:rPr>
                <w:rFonts w:hint="eastAsia"/>
                <w:b/>
                <w:sz w:val="24"/>
                <w:szCs w:val="24"/>
              </w:rPr>
              <w:t>违法行为</w:t>
            </w:r>
          </w:p>
        </w:tc>
        <w:tc>
          <w:tcPr>
            <w:tcW w:w="1684" w:type="dxa"/>
            <w:vAlign w:val="center"/>
          </w:tcPr>
          <w:p>
            <w:pPr>
              <w:jc w:val="center"/>
              <w:rPr>
                <w:b/>
                <w:sz w:val="24"/>
                <w:szCs w:val="24"/>
              </w:rPr>
            </w:pPr>
            <w:r>
              <w:rPr>
                <w:rFonts w:hint="eastAsia"/>
                <w:b/>
                <w:sz w:val="24"/>
                <w:szCs w:val="24"/>
              </w:rPr>
              <w:t>处罚依据</w:t>
            </w:r>
          </w:p>
        </w:tc>
        <w:tc>
          <w:tcPr>
            <w:tcW w:w="1515" w:type="dxa"/>
            <w:vAlign w:val="center"/>
          </w:tcPr>
          <w:p>
            <w:pPr>
              <w:jc w:val="center"/>
              <w:rPr>
                <w:b/>
                <w:sz w:val="24"/>
                <w:szCs w:val="24"/>
              </w:rPr>
            </w:pPr>
            <w:r>
              <w:rPr>
                <w:rFonts w:hint="eastAsia"/>
                <w:b/>
                <w:sz w:val="24"/>
                <w:szCs w:val="24"/>
              </w:rPr>
              <w:t>裁量档次</w:t>
            </w:r>
          </w:p>
        </w:tc>
        <w:tc>
          <w:tcPr>
            <w:tcW w:w="1365" w:type="dxa"/>
            <w:vAlign w:val="center"/>
          </w:tcPr>
          <w:p>
            <w:pPr>
              <w:jc w:val="center"/>
              <w:rPr>
                <w:b/>
                <w:sz w:val="24"/>
                <w:szCs w:val="24"/>
              </w:rPr>
            </w:pPr>
            <w:r>
              <w:rPr>
                <w:rFonts w:hint="eastAsia"/>
                <w:b/>
                <w:sz w:val="24"/>
                <w:szCs w:val="24"/>
              </w:rPr>
              <w:t>违法行为表现形式</w:t>
            </w:r>
          </w:p>
        </w:tc>
        <w:tc>
          <w:tcPr>
            <w:tcW w:w="2382" w:type="dxa"/>
            <w:vAlign w:val="center"/>
          </w:tcPr>
          <w:p>
            <w:pPr>
              <w:jc w:val="center"/>
              <w:rPr>
                <w:b/>
                <w:sz w:val="24"/>
                <w:szCs w:val="24"/>
              </w:rPr>
            </w:pPr>
            <w:r>
              <w:rPr>
                <w:rFonts w:hint="eastAsia"/>
                <w:b/>
                <w:sz w:val="24"/>
                <w:szCs w:val="24"/>
              </w:rPr>
              <w:t>裁量标准</w:t>
            </w:r>
          </w:p>
        </w:tc>
        <w:tc>
          <w:tcPr>
            <w:tcW w:w="708" w:type="dxa"/>
            <w:vAlign w:val="center"/>
          </w:tcPr>
          <w:p>
            <w:pPr>
              <w:jc w:val="center"/>
              <w:rPr>
                <w:b/>
                <w:sz w:val="24"/>
                <w:szCs w:val="24"/>
              </w:rPr>
            </w:pPr>
            <w:r>
              <w:rPr>
                <w:rFonts w:hint="eastAsia"/>
                <w:b/>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28" w:hRule="exact"/>
        </w:trPr>
        <w:tc>
          <w:tcPr>
            <w:tcW w:w="709" w:type="dxa"/>
            <w:vMerge w:val="restart"/>
            <w:vAlign w:val="center"/>
          </w:tcPr>
          <w:p>
            <w:pPr>
              <w:jc w:val="center"/>
              <w:rPr>
                <w:rFonts w:hint="eastAsia" w:ascii="宋体" w:hAnsi="宋体"/>
                <w:szCs w:val="21"/>
                <w:lang w:eastAsia="zh-CN"/>
              </w:rPr>
            </w:pPr>
            <w:r>
              <w:rPr>
                <w:rFonts w:hint="eastAsia" w:ascii="宋体" w:hAnsi="宋体"/>
                <w:szCs w:val="21"/>
                <w:lang w:eastAsia="zh-CN"/>
              </w:rPr>
              <w:t>统</w:t>
            </w:r>
          </w:p>
          <w:p>
            <w:pPr>
              <w:jc w:val="center"/>
              <w:rPr>
                <w:rFonts w:hint="eastAsia" w:ascii="宋体" w:hAnsi="宋体"/>
                <w:szCs w:val="21"/>
                <w:lang w:eastAsia="zh-CN"/>
              </w:rPr>
            </w:pPr>
            <w:r>
              <w:rPr>
                <w:rFonts w:hint="eastAsia" w:ascii="宋体" w:hAnsi="宋体"/>
                <w:szCs w:val="21"/>
                <w:lang w:eastAsia="zh-CN"/>
              </w:rPr>
              <w:t>计</w:t>
            </w:r>
          </w:p>
          <w:p>
            <w:pPr>
              <w:jc w:val="center"/>
              <w:rPr>
                <w:rFonts w:hint="eastAsia" w:ascii="宋体" w:hAnsi="宋体"/>
                <w:szCs w:val="21"/>
              </w:rPr>
            </w:pPr>
            <w:r>
              <w:rPr>
                <w:rFonts w:hint="eastAsia" w:ascii="宋体" w:hAnsi="宋体"/>
                <w:szCs w:val="21"/>
              </w:rPr>
              <w:t>管</w:t>
            </w:r>
          </w:p>
          <w:p>
            <w:pPr>
              <w:jc w:val="center"/>
              <w:rPr>
                <w:rFonts w:ascii="宋体" w:hAnsi="宋体"/>
                <w:szCs w:val="21"/>
              </w:rPr>
            </w:pPr>
            <w:r>
              <w:rPr>
                <w:rFonts w:hint="eastAsia" w:ascii="宋体" w:hAnsi="宋体"/>
                <w:szCs w:val="21"/>
              </w:rPr>
              <w:t>理</w:t>
            </w:r>
          </w:p>
        </w:tc>
        <w:tc>
          <w:tcPr>
            <w:tcW w:w="709" w:type="dxa"/>
            <w:vMerge w:val="restart"/>
            <w:vAlign w:val="center"/>
          </w:tcPr>
          <w:p>
            <w:pPr>
              <w:jc w:val="center"/>
              <w:rPr>
                <w:rFonts w:ascii="宋体" w:hAnsi="宋体"/>
                <w:szCs w:val="21"/>
              </w:rPr>
            </w:pPr>
            <w:r>
              <w:rPr>
                <w:rFonts w:hint="eastAsia" w:ascii="宋体" w:hAnsi="宋体"/>
                <w:szCs w:val="21"/>
              </w:rPr>
              <w:t>3</w:t>
            </w:r>
          </w:p>
        </w:tc>
        <w:tc>
          <w:tcPr>
            <w:tcW w:w="1276" w:type="dxa"/>
            <w:vMerge w:val="restart"/>
            <w:vAlign w:val="center"/>
          </w:tcPr>
          <w:p>
            <w:pPr>
              <w:jc w:val="left"/>
              <w:rPr>
                <w:rFonts w:ascii="宋体" w:hAnsi="宋体"/>
                <w:szCs w:val="21"/>
              </w:rPr>
            </w:pPr>
            <w:r>
              <w:rPr>
                <w:rFonts w:hint="eastAsia" w:ascii="宋体" w:hAnsi="宋体"/>
                <w:szCs w:val="21"/>
              </w:rPr>
              <w:t>企业事业单位或者其他组织迟报统计资料的</w:t>
            </w:r>
          </w:p>
        </w:tc>
        <w:tc>
          <w:tcPr>
            <w:tcW w:w="1684" w:type="dxa"/>
            <w:vMerge w:val="restart"/>
            <w:vAlign w:val="center"/>
          </w:tcPr>
          <w:p>
            <w:pPr>
              <w:rPr>
                <w:rFonts w:ascii="宋体" w:hAnsi="宋体"/>
                <w:szCs w:val="21"/>
              </w:rPr>
            </w:pPr>
            <w:r>
              <w:rPr>
                <w:rFonts w:hint="eastAsia" w:ascii="宋体" w:hAnsi="宋体"/>
                <w:szCs w:val="21"/>
              </w:rPr>
              <w:t>《中华人民共和国统计法》第</w:t>
            </w:r>
            <w:r>
              <w:rPr>
                <w:rFonts w:hint="eastAsia" w:ascii="宋体" w:hAnsi="宋体"/>
                <w:szCs w:val="21"/>
                <w:lang w:eastAsia="zh-CN"/>
              </w:rPr>
              <w:t>四十二</w:t>
            </w:r>
            <w:r>
              <w:rPr>
                <w:rFonts w:hint="eastAsia" w:ascii="宋体" w:hAnsi="宋体"/>
                <w:szCs w:val="21"/>
              </w:rPr>
              <w:t>条：“</w:t>
            </w:r>
            <w:r>
              <w:rPr>
                <w:rFonts w:hint="eastAsia"/>
              </w:rPr>
              <w:t>作为统计调查对象的国家机关、企业事业单位或者其他组织迟报统计资料，或者未按照国家有关规定设置原始记录、统计台账的，由县级以上人民政府统计机构责令改正，给予警告。企业事业单位或者其他组织有前款所列行为之一的，可以并处一万元以下的罚款。个体工商户迟报统计资料的，由县级以上人民政府统计机构责令改正，给予警告，可以并处一千元以下的罚款</w:t>
            </w:r>
            <w:r>
              <w:rPr>
                <w:rFonts w:hint="eastAsia" w:ascii="宋体" w:hAnsi="宋体"/>
                <w:szCs w:val="21"/>
              </w:rPr>
              <w:t>”。</w:t>
            </w:r>
          </w:p>
        </w:tc>
        <w:tc>
          <w:tcPr>
            <w:tcW w:w="1515" w:type="dxa"/>
            <w:tcBorders>
              <w:bottom w:val="single" w:color="auto" w:sz="4" w:space="0"/>
            </w:tcBorders>
            <w:vAlign w:val="center"/>
          </w:tcPr>
          <w:p>
            <w:pPr>
              <w:jc w:val="center"/>
              <w:rPr>
                <w:rFonts w:hint="eastAsia" w:ascii="宋体" w:hAnsi="宋体" w:eastAsia="宋体"/>
                <w:szCs w:val="21"/>
                <w:lang w:eastAsia="zh-CN"/>
              </w:rPr>
            </w:pPr>
            <w:r>
              <w:rPr>
                <w:rFonts w:hint="eastAsia" w:ascii="宋体" w:hAnsi="宋体"/>
                <w:szCs w:val="21"/>
                <w:lang w:eastAsia="zh-CN"/>
              </w:rPr>
              <w:t>轻微</w:t>
            </w:r>
          </w:p>
        </w:tc>
        <w:tc>
          <w:tcPr>
            <w:tcW w:w="1365" w:type="dxa"/>
            <w:tcBorders>
              <w:bottom w:val="single" w:color="auto" w:sz="4" w:space="0"/>
            </w:tcBorders>
            <w:vAlign w:val="center"/>
          </w:tcPr>
          <w:p>
            <w:pPr>
              <w:widowControl/>
              <w:spacing w:before="75" w:line="360" w:lineRule="exact"/>
              <w:jc w:val="left"/>
              <w:rPr>
                <w:rFonts w:hint="eastAsia" w:ascii="宋体" w:hAnsi="宋体"/>
                <w:szCs w:val="21"/>
              </w:rPr>
            </w:pPr>
            <w:r>
              <w:rPr>
                <w:rFonts w:hint="eastAsia" w:ascii="宋体" w:hAnsi="宋体"/>
                <w:szCs w:val="21"/>
              </w:rPr>
              <w:t>一年内迟报1次的</w:t>
            </w:r>
          </w:p>
        </w:tc>
        <w:tc>
          <w:tcPr>
            <w:tcW w:w="2382" w:type="dxa"/>
            <w:tcBorders>
              <w:bottom w:val="single" w:color="auto" w:sz="4" w:space="0"/>
            </w:tcBorders>
            <w:vAlign w:val="center"/>
          </w:tcPr>
          <w:p>
            <w:pPr>
              <w:jc w:val="left"/>
              <w:rPr>
                <w:rFonts w:hint="eastAsia" w:ascii="宋体" w:hAnsi="宋体"/>
                <w:szCs w:val="21"/>
              </w:rPr>
            </w:pPr>
            <w:r>
              <w:rPr>
                <w:rFonts w:hint="eastAsia" w:ascii="宋体" w:hAnsi="宋体"/>
                <w:szCs w:val="21"/>
              </w:rPr>
              <w:t>给予“警告并处三千元以下罚款”</w:t>
            </w:r>
          </w:p>
        </w:tc>
        <w:tc>
          <w:tcPr>
            <w:tcW w:w="708" w:type="dxa"/>
            <w:tcBorders>
              <w:bottom w:val="single" w:color="auto" w:sz="4" w:space="0"/>
            </w:tcBorders>
            <w:vAlign w:val="center"/>
          </w:tcPr>
          <w:p>
            <w:pPr>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08" w:hRule="exact"/>
        </w:trPr>
        <w:tc>
          <w:tcPr>
            <w:tcW w:w="709" w:type="dxa"/>
            <w:vMerge w:val="continue"/>
            <w:vAlign w:val="center"/>
          </w:tcPr>
          <w:p>
            <w:pPr>
              <w:jc w:val="center"/>
              <w:rPr>
                <w:rFonts w:hint="eastAsia" w:ascii="宋体" w:hAnsi="宋体"/>
                <w:szCs w:val="21"/>
              </w:rPr>
            </w:pPr>
          </w:p>
        </w:tc>
        <w:tc>
          <w:tcPr>
            <w:tcW w:w="709" w:type="dxa"/>
            <w:vMerge w:val="continue"/>
            <w:vAlign w:val="center"/>
          </w:tcPr>
          <w:p>
            <w:pPr>
              <w:jc w:val="center"/>
              <w:rPr>
                <w:rFonts w:hint="eastAsia" w:ascii="宋体" w:hAnsi="宋体"/>
                <w:szCs w:val="21"/>
              </w:rPr>
            </w:pPr>
          </w:p>
        </w:tc>
        <w:tc>
          <w:tcPr>
            <w:tcW w:w="1276" w:type="dxa"/>
            <w:vMerge w:val="continue"/>
            <w:vAlign w:val="center"/>
          </w:tcPr>
          <w:p>
            <w:pPr>
              <w:jc w:val="left"/>
              <w:rPr>
                <w:rFonts w:hint="eastAsia" w:ascii="宋体" w:hAnsi="宋体"/>
                <w:szCs w:val="21"/>
              </w:rPr>
            </w:pPr>
          </w:p>
        </w:tc>
        <w:tc>
          <w:tcPr>
            <w:tcW w:w="1684" w:type="dxa"/>
            <w:vMerge w:val="continue"/>
            <w:vAlign w:val="center"/>
          </w:tcPr>
          <w:p>
            <w:pPr>
              <w:jc w:val="center"/>
              <w:rPr>
                <w:rFonts w:hint="eastAsia" w:ascii="宋体" w:hAnsi="宋体"/>
                <w:szCs w:val="21"/>
              </w:rPr>
            </w:pPr>
          </w:p>
        </w:tc>
        <w:tc>
          <w:tcPr>
            <w:tcW w:w="1515" w:type="dxa"/>
            <w:tcBorders>
              <w:top w:val="single" w:color="auto" w:sz="4" w:space="0"/>
              <w:bottom w:val="single" w:color="auto" w:sz="4" w:space="0"/>
            </w:tcBorders>
            <w:vAlign w:val="center"/>
          </w:tcPr>
          <w:p>
            <w:pPr>
              <w:jc w:val="center"/>
              <w:rPr>
                <w:rFonts w:hint="eastAsia" w:ascii="宋体" w:hAnsi="宋体" w:eastAsia="宋体"/>
                <w:szCs w:val="21"/>
                <w:lang w:eastAsia="zh-CN"/>
              </w:rPr>
            </w:pPr>
            <w:r>
              <w:rPr>
                <w:rFonts w:hint="eastAsia" w:ascii="宋体" w:hAnsi="宋体"/>
                <w:szCs w:val="21"/>
                <w:lang w:eastAsia="zh-CN"/>
              </w:rPr>
              <w:t>一般</w:t>
            </w:r>
          </w:p>
        </w:tc>
        <w:tc>
          <w:tcPr>
            <w:tcW w:w="1365" w:type="dxa"/>
            <w:tcBorders>
              <w:top w:val="single" w:color="auto" w:sz="4" w:space="0"/>
              <w:bottom w:val="single" w:color="auto" w:sz="4" w:space="0"/>
            </w:tcBorders>
            <w:vAlign w:val="center"/>
          </w:tcPr>
          <w:p>
            <w:pPr>
              <w:widowControl/>
              <w:spacing w:before="75" w:line="360" w:lineRule="exact"/>
              <w:jc w:val="left"/>
              <w:rPr>
                <w:rFonts w:hint="eastAsia" w:ascii="宋体" w:hAnsi="宋体"/>
                <w:szCs w:val="21"/>
              </w:rPr>
            </w:pPr>
            <w:r>
              <w:rPr>
                <w:rFonts w:hint="eastAsia" w:ascii="宋体" w:hAnsi="宋体"/>
                <w:szCs w:val="21"/>
              </w:rPr>
              <w:t>一年内迟报2次的</w:t>
            </w:r>
          </w:p>
        </w:tc>
        <w:tc>
          <w:tcPr>
            <w:tcW w:w="2382" w:type="dxa"/>
            <w:tcBorders>
              <w:top w:val="single" w:color="auto" w:sz="4" w:space="0"/>
              <w:bottom w:val="single" w:color="auto" w:sz="4" w:space="0"/>
            </w:tcBorders>
            <w:vAlign w:val="center"/>
          </w:tcPr>
          <w:p>
            <w:pPr>
              <w:jc w:val="left"/>
              <w:rPr>
                <w:rFonts w:hint="eastAsia" w:ascii="宋体" w:hAnsi="宋体"/>
                <w:szCs w:val="21"/>
              </w:rPr>
            </w:pPr>
            <w:r>
              <w:rPr>
                <w:rFonts w:hint="eastAsia" w:ascii="宋体" w:hAnsi="宋体"/>
                <w:szCs w:val="21"/>
              </w:rPr>
              <w:t>给予“警告并处三千元以上六千元以下罚款”</w:t>
            </w:r>
          </w:p>
        </w:tc>
        <w:tc>
          <w:tcPr>
            <w:tcW w:w="708" w:type="dxa"/>
            <w:tcBorders>
              <w:top w:val="single" w:color="auto" w:sz="4" w:space="0"/>
              <w:bottom w:val="single" w:color="auto" w:sz="4" w:space="0"/>
            </w:tcBorders>
            <w:vAlign w:val="center"/>
          </w:tcPr>
          <w:p>
            <w:pPr>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543" w:hRule="exact"/>
        </w:trPr>
        <w:tc>
          <w:tcPr>
            <w:tcW w:w="709" w:type="dxa"/>
            <w:vMerge w:val="continue"/>
            <w:vAlign w:val="center"/>
          </w:tcPr>
          <w:p>
            <w:pPr>
              <w:jc w:val="center"/>
              <w:rPr>
                <w:rFonts w:hint="eastAsia" w:ascii="宋体" w:hAnsi="宋体"/>
                <w:szCs w:val="21"/>
              </w:rPr>
            </w:pPr>
          </w:p>
        </w:tc>
        <w:tc>
          <w:tcPr>
            <w:tcW w:w="709" w:type="dxa"/>
            <w:vMerge w:val="continue"/>
            <w:vAlign w:val="center"/>
          </w:tcPr>
          <w:p>
            <w:pPr>
              <w:jc w:val="center"/>
              <w:rPr>
                <w:rFonts w:hint="eastAsia" w:ascii="宋体" w:hAnsi="宋体"/>
                <w:szCs w:val="21"/>
              </w:rPr>
            </w:pPr>
          </w:p>
        </w:tc>
        <w:tc>
          <w:tcPr>
            <w:tcW w:w="1276" w:type="dxa"/>
            <w:vMerge w:val="continue"/>
            <w:vAlign w:val="center"/>
          </w:tcPr>
          <w:p>
            <w:pPr>
              <w:jc w:val="left"/>
              <w:rPr>
                <w:rFonts w:hint="eastAsia" w:ascii="宋体" w:hAnsi="宋体"/>
                <w:szCs w:val="21"/>
              </w:rPr>
            </w:pPr>
          </w:p>
        </w:tc>
        <w:tc>
          <w:tcPr>
            <w:tcW w:w="1684" w:type="dxa"/>
            <w:vMerge w:val="continue"/>
            <w:vAlign w:val="center"/>
          </w:tcPr>
          <w:p>
            <w:pPr>
              <w:jc w:val="center"/>
              <w:rPr>
                <w:rFonts w:hint="eastAsia" w:ascii="宋体" w:hAnsi="宋体"/>
                <w:szCs w:val="21"/>
              </w:rPr>
            </w:pPr>
          </w:p>
        </w:tc>
        <w:tc>
          <w:tcPr>
            <w:tcW w:w="1515" w:type="dxa"/>
            <w:tcBorders>
              <w:top w:val="single" w:color="auto" w:sz="4" w:space="0"/>
            </w:tcBorders>
            <w:vAlign w:val="center"/>
          </w:tcPr>
          <w:p>
            <w:pPr>
              <w:jc w:val="center"/>
              <w:rPr>
                <w:rFonts w:hint="eastAsia" w:ascii="宋体" w:hAnsi="宋体" w:eastAsia="宋体"/>
                <w:szCs w:val="21"/>
                <w:lang w:eastAsia="zh-CN"/>
              </w:rPr>
            </w:pPr>
            <w:r>
              <w:rPr>
                <w:rFonts w:hint="eastAsia" w:ascii="宋体" w:hAnsi="宋体"/>
                <w:szCs w:val="21"/>
                <w:lang w:eastAsia="zh-CN"/>
              </w:rPr>
              <w:t>严重</w:t>
            </w:r>
          </w:p>
        </w:tc>
        <w:tc>
          <w:tcPr>
            <w:tcW w:w="1365" w:type="dxa"/>
            <w:tcBorders>
              <w:top w:val="single" w:color="auto" w:sz="4" w:space="0"/>
            </w:tcBorders>
            <w:vAlign w:val="center"/>
          </w:tcPr>
          <w:p>
            <w:pPr>
              <w:widowControl/>
              <w:spacing w:before="75" w:line="360" w:lineRule="exact"/>
              <w:jc w:val="left"/>
              <w:rPr>
                <w:rFonts w:hint="eastAsia" w:ascii="宋体" w:hAnsi="宋体"/>
                <w:szCs w:val="21"/>
              </w:rPr>
            </w:pPr>
            <w:r>
              <w:rPr>
                <w:rFonts w:hint="eastAsia" w:ascii="宋体" w:hAnsi="宋体"/>
                <w:szCs w:val="21"/>
              </w:rPr>
              <w:t>一年内迟报3次以上的</w:t>
            </w:r>
          </w:p>
        </w:tc>
        <w:tc>
          <w:tcPr>
            <w:tcW w:w="2382" w:type="dxa"/>
            <w:tcBorders>
              <w:top w:val="single" w:color="auto" w:sz="4" w:space="0"/>
            </w:tcBorders>
            <w:vAlign w:val="center"/>
          </w:tcPr>
          <w:p>
            <w:pPr>
              <w:jc w:val="left"/>
              <w:rPr>
                <w:rFonts w:hint="eastAsia" w:ascii="宋体" w:hAnsi="宋体"/>
                <w:szCs w:val="21"/>
              </w:rPr>
            </w:pPr>
            <w:r>
              <w:rPr>
                <w:rFonts w:hint="eastAsia" w:ascii="宋体" w:hAnsi="宋体"/>
                <w:szCs w:val="21"/>
              </w:rPr>
              <w:t>给予“警告并处六千元以上一万元以下罚款”</w:t>
            </w:r>
          </w:p>
        </w:tc>
        <w:tc>
          <w:tcPr>
            <w:tcW w:w="708" w:type="dxa"/>
            <w:tcBorders>
              <w:top w:val="single" w:color="auto" w:sz="4" w:space="0"/>
            </w:tcBorders>
            <w:vAlign w:val="center"/>
          </w:tcPr>
          <w:p>
            <w:pPr>
              <w:jc w:val="center"/>
            </w:pPr>
          </w:p>
        </w:tc>
      </w:tr>
    </w:tbl>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tbl>
      <w:tblPr>
        <w:tblStyle w:val="6"/>
        <w:tblW w:w="10348" w:type="dxa"/>
        <w:tblInd w:w="-6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709"/>
        <w:gridCol w:w="714"/>
        <w:gridCol w:w="3285"/>
        <w:gridCol w:w="1350"/>
        <w:gridCol w:w="1395"/>
        <w:gridCol w:w="1478"/>
        <w:gridCol w:w="7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exact"/>
        </w:trPr>
        <w:tc>
          <w:tcPr>
            <w:tcW w:w="709" w:type="dxa"/>
            <w:vAlign w:val="center"/>
          </w:tcPr>
          <w:p>
            <w:pPr>
              <w:jc w:val="center"/>
              <w:rPr>
                <w:b/>
                <w:sz w:val="24"/>
                <w:szCs w:val="24"/>
              </w:rPr>
            </w:pPr>
            <w:r>
              <w:rPr>
                <w:rFonts w:hint="eastAsia"/>
                <w:b/>
                <w:sz w:val="24"/>
                <w:szCs w:val="24"/>
              </w:rPr>
              <w:t>类别</w:t>
            </w:r>
          </w:p>
        </w:tc>
        <w:tc>
          <w:tcPr>
            <w:tcW w:w="709" w:type="dxa"/>
            <w:vAlign w:val="center"/>
          </w:tcPr>
          <w:p>
            <w:pPr>
              <w:jc w:val="center"/>
              <w:rPr>
                <w:b/>
                <w:sz w:val="24"/>
                <w:szCs w:val="24"/>
              </w:rPr>
            </w:pPr>
            <w:r>
              <w:rPr>
                <w:rFonts w:hint="eastAsia"/>
                <w:b/>
                <w:sz w:val="24"/>
                <w:szCs w:val="24"/>
              </w:rPr>
              <w:t>序号</w:t>
            </w:r>
          </w:p>
        </w:tc>
        <w:tc>
          <w:tcPr>
            <w:tcW w:w="714" w:type="dxa"/>
            <w:vAlign w:val="center"/>
          </w:tcPr>
          <w:p>
            <w:pPr>
              <w:jc w:val="center"/>
              <w:rPr>
                <w:b/>
                <w:sz w:val="24"/>
                <w:szCs w:val="24"/>
              </w:rPr>
            </w:pPr>
            <w:r>
              <w:rPr>
                <w:rFonts w:hint="eastAsia"/>
                <w:b/>
                <w:sz w:val="24"/>
                <w:szCs w:val="24"/>
              </w:rPr>
              <w:t>违法行为</w:t>
            </w:r>
          </w:p>
        </w:tc>
        <w:tc>
          <w:tcPr>
            <w:tcW w:w="3285" w:type="dxa"/>
            <w:vAlign w:val="center"/>
          </w:tcPr>
          <w:p>
            <w:pPr>
              <w:jc w:val="center"/>
              <w:rPr>
                <w:b/>
                <w:sz w:val="24"/>
                <w:szCs w:val="24"/>
              </w:rPr>
            </w:pPr>
            <w:r>
              <w:rPr>
                <w:rFonts w:hint="eastAsia"/>
                <w:b/>
                <w:sz w:val="24"/>
                <w:szCs w:val="24"/>
              </w:rPr>
              <w:t>处罚依据</w:t>
            </w:r>
          </w:p>
        </w:tc>
        <w:tc>
          <w:tcPr>
            <w:tcW w:w="1350" w:type="dxa"/>
            <w:vAlign w:val="center"/>
          </w:tcPr>
          <w:p>
            <w:pPr>
              <w:jc w:val="center"/>
              <w:rPr>
                <w:b/>
                <w:sz w:val="24"/>
                <w:szCs w:val="24"/>
              </w:rPr>
            </w:pPr>
            <w:r>
              <w:rPr>
                <w:rFonts w:hint="eastAsia"/>
                <w:b/>
                <w:sz w:val="24"/>
                <w:szCs w:val="24"/>
              </w:rPr>
              <w:t>裁量档次</w:t>
            </w:r>
          </w:p>
        </w:tc>
        <w:tc>
          <w:tcPr>
            <w:tcW w:w="1395" w:type="dxa"/>
            <w:vAlign w:val="center"/>
          </w:tcPr>
          <w:p>
            <w:pPr>
              <w:jc w:val="center"/>
              <w:rPr>
                <w:b/>
                <w:sz w:val="24"/>
                <w:szCs w:val="24"/>
              </w:rPr>
            </w:pPr>
            <w:r>
              <w:rPr>
                <w:rFonts w:hint="eastAsia"/>
                <w:b/>
                <w:sz w:val="24"/>
                <w:szCs w:val="24"/>
              </w:rPr>
              <w:t>违法行为表现形式</w:t>
            </w:r>
          </w:p>
        </w:tc>
        <w:tc>
          <w:tcPr>
            <w:tcW w:w="1478" w:type="dxa"/>
            <w:vAlign w:val="center"/>
          </w:tcPr>
          <w:p>
            <w:pPr>
              <w:jc w:val="center"/>
              <w:rPr>
                <w:b/>
                <w:sz w:val="24"/>
                <w:szCs w:val="24"/>
              </w:rPr>
            </w:pPr>
            <w:r>
              <w:rPr>
                <w:rFonts w:hint="eastAsia"/>
                <w:b/>
                <w:sz w:val="24"/>
                <w:szCs w:val="24"/>
              </w:rPr>
              <w:t>裁量标准</w:t>
            </w:r>
          </w:p>
        </w:tc>
        <w:tc>
          <w:tcPr>
            <w:tcW w:w="708" w:type="dxa"/>
            <w:vAlign w:val="center"/>
          </w:tcPr>
          <w:p>
            <w:pPr>
              <w:jc w:val="center"/>
              <w:rPr>
                <w:b/>
                <w:sz w:val="24"/>
                <w:szCs w:val="24"/>
              </w:rPr>
            </w:pPr>
            <w:r>
              <w:rPr>
                <w:rFonts w:hint="eastAsia"/>
                <w:b/>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5" w:hRule="exact"/>
        </w:trPr>
        <w:tc>
          <w:tcPr>
            <w:tcW w:w="709" w:type="dxa"/>
            <w:vMerge w:val="restart"/>
            <w:vAlign w:val="center"/>
          </w:tcPr>
          <w:p>
            <w:pPr>
              <w:jc w:val="center"/>
              <w:rPr>
                <w:rFonts w:hint="eastAsia" w:ascii="宋体" w:hAnsi="宋体"/>
                <w:szCs w:val="21"/>
                <w:lang w:eastAsia="zh-CN"/>
              </w:rPr>
            </w:pPr>
            <w:r>
              <w:rPr>
                <w:rFonts w:hint="eastAsia" w:ascii="宋体" w:hAnsi="宋体"/>
                <w:szCs w:val="21"/>
                <w:lang w:eastAsia="zh-CN"/>
              </w:rPr>
              <w:t>统</w:t>
            </w:r>
          </w:p>
          <w:p>
            <w:pPr>
              <w:jc w:val="center"/>
              <w:rPr>
                <w:rFonts w:hint="eastAsia" w:ascii="宋体" w:hAnsi="宋体"/>
                <w:szCs w:val="21"/>
                <w:lang w:eastAsia="zh-CN"/>
              </w:rPr>
            </w:pPr>
            <w:r>
              <w:rPr>
                <w:rFonts w:hint="eastAsia" w:ascii="宋体" w:hAnsi="宋体"/>
                <w:szCs w:val="21"/>
                <w:lang w:eastAsia="zh-CN"/>
              </w:rPr>
              <w:t>计</w:t>
            </w:r>
          </w:p>
          <w:p>
            <w:pPr>
              <w:jc w:val="center"/>
              <w:rPr>
                <w:rFonts w:hint="eastAsia" w:ascii="宋体" w:hAnsi="宋体"/>
                <w:szCs w:val="21"/>
              </w:rPr>
            </w:pPr>
            <w:r>
              <w:rPr>
                <w:rFonts w:hint="eastAsia" w:ascii="宋体" w:hAnsi="宋体"/>
                <w:szCs w:val="21"/>
              </w:rPr>
              <w:t>管</w:t>
            </w:r>
          </w:p>
          <w:p>
            <w:pPr>
              <w:jc w:val="center"/>
              <w:rPr>
                <w:rFonts w:ascii="宋体" w:hAnsi="宋体"/>
                <w:szCs w:val="21"/>
              </w:rPr>
            </w:pPr>
            <w:r>
              <w:rPr>
                <w:rFonts w:hint="eastAsia" w:ascii="宋体" w:hAnsi="宋体"/>
                <w:szCs w:val="21"/>
              </w:rPr>
              <w:t>理</w:t>
            </w:r>
          </w:p>
        </w:tc>
        <w:tc>
          <w:tcPr>
            <w:tcW w:w="709" w:type="dxa"/>
            <w:vMerge w:val="restart"/>
            <w:vAlign w:val="center"/>
          </w:tcPr>
          <w:p>
            <w:pPr>
              <w:jc w:val="center"/>
              <w:rPr>
                <w:rFonts w:hint="eastAsia" w:ascii="宋体" w:hAnsi="宋体" w:eastAsia="宋体"/>
                <w:szCs w:val="21"/>
                <w:lang w:val="en-US" w:eastAsia="zh-CN"/>
              </w:rPr>
            </w:pPr>
            <w:r>
              <w:rPr>
                <w:rFonts w:hint="eastAsia" w:ascii="宋体" w:hAnsi="宋体" w:eastAsia="宋体"/>
                <w:szCs w:val="21"/>
                <w:lang w:val="en-US" w:eastAsia="zh-CN"/>
              </w:rPr>
              <w:t>4</w:t>
            </w:r>
          </w:p>
        </w:tc>
        <w:tc>
          <w:tcPr>
            <w:tcW w:w="714" w:type="dxa"/>
            <w:vMerge w:val="restart"/>
            <w:vAlign w:val="center"/>
          </w:tcPr>
          <w:p>
            <w:pPr>
              <w:jc w:val="both"/>
              <w:rPr>
                <w:rFonts w:ascii="宋体" w:hAnsi="宋体"/>
                <w:szCs w:val="21"/>
              </w:rPr>
            </w:pPr>
            <w:r>
              <w:rPr>
                <w:rFonts w:hint="eastAsia" w:ascii="宋体" w:hAnsi="宋体"/>
                <w:szCs w:val="21"/>
              </w:rPr>
              <w:t>企业事业单位或者其他组织</w:t>
            </w:r>
            <w:r>
              <w:rPr>
                <w:rFonts w:hint="eastAsia" w:ascii="宋体" w:hAnsi="宋体"/>
                <w:szCs w:val="21"/>
                <w:lang w:eastAsia="zh-CN"/>
              </w:rPr>
              <w:t>提供不完整的统计资料的</w:t>
            </w:r>
          </w:p>
        </w:tc>
        <w:tc>
          <w:tcPr>
            <w:tcW w:w="3285" w:type="dxa"/>
            <w:vMerge w:val="restart"/>
            <w:vAlign w:val="center"/>
          </w:tcPr>
          <w:p>
            <w:pPr>
              <w:jc w:val="both"/>
              <w:rPr>
                <w:rFonts w:hint="eastAsia" w:ascii="宋体" w:hAnsi="宋体"/>
                <w:szCs w:val="21"/>
              </w:rPr>
            </w:pPr>
            <w:r>
              <w:rPr>
                <w:rFonts w:hint="eastAsia" w:ascii="宋体" w:hAnsi="宋体"/>
                <w:szCs w:val="21"/>
                <w:lang w:eastAsia="zh-CN"/>
              </w:rPr>
              <w:t>《中华人民共和国统计法》第四十一条：“</w:t>
            </w:r>
            <w:r>
              <w:rPr>
                <w:rFonts w:hint="eastAsia" w:ascii="宋体" w:hAnsi="宋体"/>
                <w:szCs w:val="21"/>
              </w:rPr>
              <w:t>作为统计调查对象的国家机关、企业事业单位或者其他组织有下列行为之一的，由县级以上人民政府统计机构责令改正，给予警告，可以予以通报；其直接负责的主管人员和其他直接责任人员属于国家工作人员的，由任免机关或者监察机关依法给予处分：（一）拒绝提供统计资料或者经催报后仍未按时提供统计资料的；（二）提供不真实或者不完整的统计资料的；（三）拒绝答复或者不如实答复统计检查查询书的；（四）拒绝、阻碍统计调查、统计检查的；（五）转移、隐匿、篡改、毁弃或者拒绝提供原始记录和凭证、统计台账、统计调查表及其他相关证明和资料的。 企业事业单位或者其他组织有前款所列行为之一的，可以并处五万元以下的罚款；情节严重的，并处五万元以上二十万元以下的罚款。个体工商户有本条第一款所列行为之一的，由县级以上人民政府统计机构责令改正，给予警告，可以并处一万元以下的罚款</w:t>
            </w:r>
            <w:r>
              <w:rPr>
                <w:rFonts w:hint="eastAsia" w:ascii="宋体" w:hAnsi="宋体"/>
                <w:szCs w:val="21"/>
                <w:lang w:eastAsia="zh-CN"/>
              </w:rPr>
              <w:t>”</w:t>
            </w:r>
            <w:r>
              <w:rPr>
                <w:rFonts w:hint="eastAsia" w:ascii="宋体" w:hAnsi="宋体"/>
                <w:szCs w:val="21"/>
              </w:rPr>
              <w:t>。</w:t>
            </w:r>
          </w:p>
          <w:p>
            <w:pPr>
              <w:jc w:val="both"/>
              <w:rPr>
                <w:rFonts w:hint="eastAsia" w:ascii="宋体" w:hAnsi="宋体"/>
                <w:szCs w:val="21"/>
              </w:rPr>
            </w:pPr>
            <w:r>
              <w:rPr>
                <w:rFonts w:hint="eastAsia" w:ascii="宋体" w:hAnsi="宋体"/>
                <w:szCs w:val="21"/>
                <w:lang w:eastAsia="zh-CN"/>
              </w:rPr>
              <w:t>《中华人民共和国行政处罚法》第二十七条“</w:t>
            </w:r>
            <w:r>
              <w:rPr>
                <w:rFonts w:hint="eastAsia" w:ascii="宋体" w:hAnsi="宋体"/>
                <w:szCs w:val="21"/>
              </w:rPr>
              <w:t>当事人有下列情形之一的，应当依法从轻或者减轻行政处罚:（一）主动消除或者减轻违法行为危害后果的；（二）受他人胁迫有违法行为的；（三）配合行政机关查处违法行为有立功表现的；（四）其他依法从轻或者减轻行政处罚的。违法行为轻微并及时纠正，没有造成危害后果的，不予行政处罚</w:t>
            </w:r>
            <w:r>
              <w:rPr>
                <w:rFonts w:hint="eastAsia" w:ascii="宋体" w:hAnsi="宋体"/>
                <w:szCs w:val="21"/>
                <w:lang w:eastAsia="zh-CN"/>
              </w:rPr>
              <w:t>”</w:t>
            </w:r>
            <w:r>
              <w:rPr>
                <w:rFonts w:hint="eastAsia" w:ascii="宋体" w:hAnsi="宋体"/>
                <w:szCs w:val="21"/>
              </w:rPr>
              <w:t>。</w:t>
            </w:r>
          </w:p>
        </w:tc>
        <w:tc>
          <w:tcPr>
            <w:tcW w:w="1350" w:type="dxa"/>
            <w:tcBorders>
              <w:bottom w:val="single" w:color="auto" w:sz="4" w:space="0"/>
            </w:tcBorders>
            <w:vAlign w:val="center"/>
          </w:tcPr>
          <w:p>
            <w:pPr>
              <w:jc w:val="center"/>
              <w:rPr>
                <w:rFonts w:hint="eastAsia" w:ascii="宋体" w:hAnsi="宋体" w:eastAsia="宋体"/>
                <w:szCs w:val="21"/>
                <w:lang w:eastAsia="zh-CN"/>
              </w:rPr>
            </w:pPr>
            <w:r>
              <w:rPr>
                <w:rFonts w:hint="eastAsia" w:ascii="宋体" w:hAnsi="宋体"/>
                <w:szCs w:val="21"/>
                <w:lang w:eastAsia="zh-CN"/>
              </w:rPr>
              <w:t>轻微</w:t>
            </w:r>
          </w:p>
        </w:tc>
        <w:tc>
          <w:tcPr>
            <w:tcW w:w="1395" w:type="dxa"/>
            <w:tcBorders>
              <w:bottom w:val="single" w:color="auto" w:sz="4" w:space="0"/>
            </w:tcBorders>
            <w:vAlign w:val="center"/>
          </w:tcPr>
          <w:p>
            <w:pPr>
              <w:widowControl/>
              <w:spacing w:before="75" w:line="360" w:lineRule="exact"/>
              <w:jc w:val="both"/>
              <w:rPr>
                <w:rFonts w:hint="eastAsia" w:ascii="宋体" w:hAnsi="宋体" w:eastAsia="宋体"/>
                <w:szCs w:val="21"/>
                <w:lang w:eastAsia="zh-CN"/>
              </w:rPr>
            </w:pPr>
            <w:r>
              <w:rPr>
                <w:rFonts w:hint="eastAsia" w:ascii="宋体" w:hAnsi="宋体"/>
                <w:szCs w:val="21"/>
                <w:lang w:eastAsia="zh-CN"/>
              </w:rPr>
              <w:t>首次被发现，违法情节轻微，未造成危害后果，并主动纠正或者在限期内改正的</w:t>
            </w:r>
          </w:p>
        </w:tc>
        <w:tc>
          <w:tcPr>
            <w:tcW w:w="1478" w:type="dxa"/>
            <w:tcBorders>
              <w:bottom w:val="single" w:color="auto" w:sz="4" w:space="0"/>
            </w:tcBorders>
            <w:vAlign w:val="center"/>
          </w:tcPr>
          <w:p>
            <w:pPr>
              <w:jc w:val="left"/>
              <w:rPr>
                <w:rFonts w:hint="eastAsia" w:ascii="宋体" w:hAnsi="宋体" w:eastAsia="宋体"/>
                <w:szCs w:val="21"/>
                <w:lang w:eastAsia="zh-CN"/>
              </w:rPr>
            </w:pPr>
            <w:r>
              <w:rPr>
                <w:rFonts w:hint="eastAsia" w:ascii="宋体" w:hAnsi="宋体"/>
                <w:szCs w:val="21"/>
                <w:lang w:eastAsia="zh-CN"/>
              </w:rPr>
              <w:t>责令改正</w:t>
            </w:r>
          </w:p>
        </w:tc>
        <w:tc>
          <w:tcPr>
            <w:tcW w:w="708" w:type="dxa"/>
            <w:tcBorders>
              <w:bottom w:val="single" w:color="auto" w:sz="4" w:space="0"/>
            </w:tcBorders>
            <w:vAlign w:val="center"/>
          </w:tcPr>
          <w:p>
            <w:pPr>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5" w:hRule="exact"/>
        </w:trPr>
        <w:tc>
          <w:tcPr>
            <w:tcW w:w="709" w:type="dxa"/>
            <w:vMerge w:val="continue"/>
            <w:vAlign w:val="center"/>
          </w:tcPr>
          <w:p>
            <w:pPr>
              <w:jc w:val="center"/>
              <w:rPr>
                <w:rFonts w:hint="eastAsia" w:ascii="宋体" w:hAnsi="宋体"/>
                <w:szCs w:val="21"/>
              </w:rPr>
            </w:pPr>
          </w:p>
        </w:tc>
        <w:tc>
          <w:tcPr>
            <w:tcW w:w="709" w:type="dxa"/>
            <w:vMerge w:val="continue"/>
            <w:vAlign w:val="center"/>
          </w:tcPr>
          <w:p>
            <w:pPr>
              <w:jc w:val="center"/>
              <w:rPr>
                <w:rFonts w:hint="eastAsia" w:ascii="宋体" w:hAnsi="宋体"/>
                <w:szCs w:val="21"/>
              </w:rPr>
            </w:pPr>
          </w:p>
        </w:tc>
        <w:tc>
          <w:tcPr>
            <w:tcW w:w="714" w:type="dxa"/>
            <w:vMerge w:val="continue"/>
            <w:vAlign w:val="center"/>
          </w:tcPr>
          <w:p>
            <w:pPr>
              <w:jc w:val="left"/>
              <w:rPr>
                <w:rFonts w:hint="eastAsia" w:ascii="宋体" w:hAnsi="宋体"/>
                <w:szCs w:val="21"/>
              </w:rPr>
            </w:pPr>
          </w:p>
        </w:tc>
        <w:tc>
          <w:tcPr>
            <w:tcW w:w="3285" w:type="dxa"/>
            <w:vMerge w:val="continue"/>
            <w:vAlign w:val="center"/>
          </w:tcPr>
          <w:p>
            <w:pPr>
              <w:jc w:val="center"/>
              <w:rPr>
                <w:rFonts w:hint="eastAsia" w:ascii="宋体" w:hAnsi="宋体"/>
                <w:szCs w:val="21"/>
              </w:rPr>
            </w:pPr>
          </w:p>
        </w:tc>
        <w:tc>
          <w:tcPr>
            <w:tcW w:w="1350" w:type="dxa"/>
            <w:tcBorders>
              <w:top w:val="single" w:color="auto" w:sz="4" w:space="0"/>
              <w:bottom w:val="single" w:color="auto" w:sz="4" w:space="0"/>
            </w:tcBorders>
            <w:vAlign w:val="center"/>
          </w:tcPr>
          <w:p>
            <w:pPr>
              <w:jc w:val="center"/>
              <w:rPr>
                <w:rFonts w:hint="eastAsia" w:ascii="宋体" w:hAnsi="宋体" w:eastAsia="宋体"/>
                <w:szCs w:val="21"/>
                <w:lang w:eastAsia="zh-CN"/>
              </w:rPr>
            </w:pPr>
            <w:r>
              <w:rPr>
                <w:rFonts w:hint="eastAsia" w:ascii="宋体" w:hAnsi="宋体"/>
                <w:szCs w:val="21"/>
                <w:lang w:eastAsia="zh-CN"/>
              </w:rPr>
              <w:t>一般</w:t>
            </w:r>
          </w:p>
        </w:tc>
        <w:tc>
          <w:tcPr>
            <w:tcW w:w="1395" w:type="dxa"/>
            <w:tcBorders>
              <w:top w:val="single" w:color="auto" w:sz="4" w:space="0"/>
              <w:bottom w:val="single" w:color="auto" w:sz="4" w:space="0"/>
            </w:tcBorders>
            <w:vAlign w:val="center"/>
          </w:tcPr>
          <w:p>
            <w:pPr>
              <w:widowControl/>
              <w:spacing w:before="75" w:line="360" w:lineRule="exact"/>
              <w:jc w:val="both"/>
              <w:rPr>
                <w:rFonts w:hint="eastAsia" w:ascii="宋体" w:hAnsi="宋体" w:eastAsia="宋体"/>
                <w:szCs w:val="21"/>
                <w:lang w:eastAsia="zh-CN"/>
              </w:rPr>
            </w:pPr>
            <w:r>
              <w:rPr>
                <w:rFonts w:hint="eastAsia" w:ascii="宋体" w:hAnsi="宋体"/>
                <w:szCs w:val="21"/>
                <w:lang w:eastAsia="zh-CN"/>
              </w:rPr>
              <w:t>一年内被发现</w:t>
            </w:r>
            <w:r>
              <w:rPr>
                <w:rFonts w:hint="eastAsia" w:ascii="宋体" w:hAnsi="宋体"/>
                <w:szCs w:val="21"/>
                <w:lang w:val="en-US" w:eastAsia="zh-CN"/>
              </w:rPr>
              <w:t>2次</w:t>
            </w:r>
            <w:r>
              <w:rPr>
                <w:rFonts w:hint="eastAsia" w:ascii="宋体" w:hAnsi="宋体"/>
                <w:szCs w:val="21"/>
                <w:lang w:eastAsia="zh-CN"/>
              </w:rPr>
              <w:t>并主动纠正的</w:t>
            </w:r>
          </w:p>
        </w:tc>
        <w:tc>
          <w:tcPr>
            <w:tcW w:w="1478" w:type="dxa"/>
            <w:tcBorders>
              <w:top w:val="single" w:color="auto" w:sz="4" w:space="0"/>
              <w:bottom w:val="single" w:color="auto" w:sz="4" w:space="0"/>
            </w:tcBorders>
            <w:vAlign w:val="center"/>
          </w:tcPr>
          <w:p>
            <w:pPr>
              <w:jc w:val="left"/>
              <w:rPr>
                <w:rFonts w:hint="eastAsia" w:ascii="宋体" w:hAnsi="宋体"/>
                <w:szCs w:val="21"/>
              </w:rPr>
            </w:pPr>
            <w:r>
              <w:rPr>
                <w:rFonts w:hint="eastAsia" w:ascii="宋体" w:hAnsi="宋体"/>
                <w:szCs w:val="21"/>
              </w:rPr>
              <w:t>给予“警告”或“警告并处五千元以下罚款”</w:t>
            </w:r>
          </w:p>
        </w:tc>
        <w:tc>
          <w:tcPr>
            <w:tcW w:w="708" w:type="dxa"/>
            <w:tcBorders>
              <w:top w:val="single" w:color="auto" w:sz="4" w:space="0"/>
              <w:bottom w:val="single" w:color="auto" w:sz="4" w:space="0"/>
            </w:tcBorders>
            <w:vAlign w:val="center"/>
          </w:tcPr>
          <w:p>
            <w:pPr>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65" w:hRule="exact"/>
        </w:trPr>
        <w:tc>
          <w:tcPr>
            <w:tcW w:w="709" w:type="dxa"/>
            <w:vMerge w:val="continue"/>
            <w:vAlign w:val="center"/>
          </w:tcPr>
          <w:p>
            <w:pPr>
              <w:jc w:val="center"/>
              <w:rPr>
                <w:rFonts w:hint="eastAsia" w:ascii="宋体" w:hAnsi="宋体"/>
                <w:szCs w:val="21"/>
              </w:rPr>
            </w:pPr>
          </w:p>
        </w:tc>
        <w:tc>
          <w:tcPr>
            <w:tcW w:w="709" w:type="dxa"/>
            <w:vMerge w:val="continue"/>
            <w:vAlign w:val="center"/>
          </w:tcPr>
          <w:p>
            <w:pPr>
              <w:jc w:val="center"/>
              <w:rPr>
                <w:rFonts w:hint="eastAsia" w:ascii="宋体" w:hAnsi="宋体"/>
                <w:szCs w:val="21"/>
              </w:rPr>
            </w:pPr>
          </w:p>
        </w:tc>
        <w:tc>
          <w:tcPr>
            <w:tcW w:w="714" w:type="dxa"/>
            <w:vMerge w:val="continue"/>
            <w:vAlign w:val="center"/>
          </w:tcPr>
          <w:p>
            <w:pPr>
              <w:jc w:val="left"/>
              <w:rPr>
                <w:rFonts w:hint="eastAsia" w:ascii="宋体" w:hAnsi="宋体"/>
                <w:szCs w:val="21"/>
              </w:rPr>
            </w:pPr>
          </w:p>
        </w:tc>
        <w:tc>
          <w:tcPr>
            <w:tcW w:w="3285" w:type="dxa"/>
            <w:vMerge w:val="continue"/>
            <w:vAlign w:val="center"/>
          </w:tcPr>
          <w:p>
            <w:pPr>
              <w:jc w:val="center"/>
              <w:rPr>
                <w:rFonts w:hint="eastAsia" w:ascii="宋体" w:hAnsi="宋体"/>
                <w:szCs w:val="21"/>
              </w:rPr>
            </w:pPr>
          </w:p>
        </w:tc>
        <w:tc>
          <w:tcPr>
            <w:tcW w:w="1350" w:type="dxa"/>
            <w:tcBorders>
              <w:top w:val="single" w:color="auto" w:sz="4" w:space="0"/>
              <w:bottom w:val="single" w:color="auto" w:sz="4" w:space="0"/>
            </w:tcBorders>
            <w:vAlign w:val="center"/>
          </w:tcPr>
          <w:p>
            <w:pPr>
              <w:jc w:val="center"/>
              <w:rPr>
                <w:rFonts w:hint="eastAsia" w:ascii="宋体" w:hAnsi="宋体" w:eastAsia="宋体"/>
                <w:szCs w:val="21"/>
                <w:lang w:eastAsia="zh-CN"/>
              </w:rPr>
            </w:pPr>
            <w:r>
              <w:rPr>
                <w:rFonts w:hint="eastAsia" w:ascii="宋体" w:hAnsi="宋体"/>
                <w:szCs w:val="21"/>
                <w:lang w:eastAsia="zh-CN"/>
              </w:rPr>
              <w:t>较重</w:t>
            </w:r>
          </w:p>
        </w:tc>
        <w:tc>
          <w:tcPr>
            <w:tcW w:w="1395" w:type="dxa"/>
            <w:tcBorders>
              <w:top w:val="single" w:color="auto" w:sz="4" w:space="0"/>
              <w:bottom w:val="single" w:color="auto" w:sz="4" w:space="0"/>
            </w:tcBorders>
            <w:vAlign w:val="center"/>
          </w:tcPr>
          <w:p>
            <w:pPr>
              <w:widowControl/>
              <w:spacing w:before="75" w:line="360" w:lineRule="exact"/>
              <w:jc w:val="both"/>
              <w:rPr>
                <w:rFonts w:hint="eastAsia" w:ascii="宋体" w:hAnsi="宋体" w:eastAsia="宋体"/>
                <w:szCs w:val="21"/>
                <w:lang w:eastAsia="zh-CN"/>
              </w:rPr>
            </w:pPr>
            <w:r>
              <w:rPr>
                <w:rFonts w:hint="eastAsia" w:ascii="宋体" w:hAnsi="宋体"/>
                <w:szCs w:val="21"/>
                <w:lang w:eastAsia="zh-CN"/>
              </w:rPr>
              <w:t>一年内被发现</w:t>
            </w:r>
            <w:r>
              <w:rPr>
                <w:rFonts w:hint="eastAsia" w:ascii="宋体" w:hAnsi="宋体"/>
                <w:szCs w:val="21"/>
                <w:lang w:val="en-US" w:eastAsia="zh-CN"/>
              </w:rPr>
              <w:t>3次并</w:t>
            </w:r>
            <w:r>
              <w:rPr>
                <w:rFonts w:hint="eastAsia" w:ascii="宋体" w:hAnsi="宋体"/>
                <w:szCs w:val="21"/>
                <w:lang w:eastAsia="zh-CN"/>
              </w:rPr>
              <w:t>在限期内改正的</w:t>
            </w:r>
          </w:p>
        </w:tc>
        <w:tc>
          <w:tcPr>
            <w:tcW w:w="1478" w:type="dxa"/>
            <w:tcBorders>
              <w:top w:val="single" w:color="auto" w:sz="4" w:space="0"/>
              <w:bottom w:val="single" w:color="auto" w:sz="4" w:space="0"/>
            </w:tcBorders>
            <w:vAlign w:val="center"/>
          </w:tcPr>
          <w:p>
            <w:pPr>
              <w:jc w:val="left"/>
              <w:rPr>
                <w:rFonts w:hint="eastAsia" w:ascii="宋体" w:hAnsi="宋体" w:eastAsia="宋体"/>
                <w:szCs w:val="21"/>
                <w:lang w:eastAsia="zh-CN"/>
              </w:rPr>
            </w:pPr>
            <w:r>
              <w:rPr>
                <w:rFonts w:hint="eastAsia" w:ascii="宋体" w:hAnsi="宋体"/>
                <w:szCs w:val="21"/>
              </w:rPr>
              <w:t>给予“警告并处</w:t>
            </w:r>
            <w:r>
              <w:rPr>
                <w:rFonts w:hint="eastAsia" w:ascii="宋体" w:hAnsi="宋体"/>
                <w:szCs w:val="21"/>
                <w:lang w:eastAsia="zh-CN"/>
              </w:rPr>
              <w:t>五千</w:t>
            </w:r>
            <w:r>
              <w:rPr>
                <w:rFonts w:hint="eastAsia" w:ascii="宋体" w:hAnsi="宋体"/>
                <w:szCs w:val="21"/>
              </w:rPr>
              <w:t>元以上一万元以下罚款”</w:t>
            </w:r>
          </w:p>
        </w:tc>
        <w:tc>
          <w:tcPr>
            <w:tcW w:w="708" w:type="dxa"/>
            <w:tcBorders>
              <w:top w:val="single" w:color="auto" w:sz="4" w:space="0"/>
              <w:bottom w:val="single" w:color="auto" w:sz="4" w:space="0"/>
            </w:tcBorders>
            <w:vAlign w:val="center"/>
          </w:tcPr>
          <w:p>
            <w:pPr>
              <w:jc w:val="center"/>
            </w:pPr>
          </w:p>
        </w:tc>
      </w:tr>
    </w:tbl>
    <w:p/>
    <w:p/>
    <w:p/>
    <w:tbl>
      <w:tblPr>
        <w:tblStyle w:val="6"/>
        <w:tblW w:w="10348" w:type="dxa"/>
        <w:tblInd w:w="-6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709"/>
        <w:gridCol w:w="714"/>
        <w:gridCol w:w="3285"/>
        <w:gridCol w:w="1350"/>
        <w:gridCol w:w="1395"/>
        <w:gridCol w:w="1478"/>
        <w:gridCol w:w="7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exact"/>
        </w:trPr>
        <w:tc>
          <w:tcPr>
            <w:tcW w:w="709" w:type="dxa"/>
            <w:vAlign w:val="center"/>
          </w:tcPr>
          <w:p>
            <w:pPr>
              <w:jc w:val="center"/>
              <w:rPr>
                <w:b/>
                <w:sz w:val="24"/>
                <w:szCs w:val="24"/>
              </w:rPr>
            </w:pPr>
            <w:r>
              <w:rPr>
                <w:rFonts w:hint="eastAsia"/>
                <w:b/>
                <w:sz w:val="24"/>
                <w:szCs w:val="24"/>
              </w:rPr>
              <w:t>类别</w:t>
            </w:r>
          </w:p>
        </w:tc>
        <w:tc>
          <w:tcPr>
            <w:tcW w:w="709" w:type="dxa"/>
            <w:vAlign w:val="center"/>
          </w:tcPr>
          <w:p>
            <w:pPr>
              <w:jc w:val="center"/>
              <w:rPr>
                <w:b/>
                <w:sz w:val="24"/>
                <w:szCs w:val="24"/>
              </w:rPr>
            </w:pPr>
            <w:r>
              <w:rPr>
                <w:rFonts w:hint="eastAsia"/>
                <w:b/>
                <w:sz w:val="24"/>
                <w:szCs w:val="24"/>
              </w:rPr>
              <w:t>序号</w:t>
            </w:r>
          </w:p>
        </w:tc>
        <w:tc>
          <w:tcPr>
            <w:tcW w:w="714" w:type="dxa"/>
            <w:vAlign w:val="center"/>
          </w:tcPr>
          <w:p>
            <w:pPr>
              <w:jc w:val="center"/>
              <w:rPr>
                <w:b/>
                <w:sz w:val="24"/>
                <w:szCs w:val="24"/>
              </w:rPr>
            </w:pPr>
            <w:r>
              <w:rPr>
                <w:rFonts w:hint="eastAsia"/>
                <w:b/>
                <w:sz w:val="24"/>
                <w:szCs w:val="24"/>
              </w:rPr>
              <w:t>违法行为</w:t>
            </w:r>
          </w:p>
        </w:tc>
        <w:tc>
          <w:tcPr>
            <w:tcW w:w="3285" w:type="dxa"/>
            <w:vAlign w:val="center"/>
          </w:tcPr>
          <w:p>
            <w:pPr>
              <w:jc w:val="center"/>
              <w:rPr>
                <w:b/>
                <w:sz w:val="24"/>
                <w:szCs w:val="24"/>
              </w:rPr>
            </w:pPr>
            <w:r>
              <w:rPr>
                <w:rFonts w:hint="eastAsia"/>
                <w:b/>
                <w:sz w:val="24"/>
                <w:szCs w:val="24"/>
              </w:rPr>
              <w:t>处罚依据</w:t>
            </w:r>
          </w:p>
        </w:tc>
        <w:tc>
          <w:tcPr>
            <w:tcW w:w="1350" w:type="dxa"/>
            <w:vAlign w:val="center"/>
          </w:tcPr>
          <w:p>
            <w:pPr>
              <w:jc w:val="center"/>
              <w:rPr>
                <w:b/>
                <w:sz w:val="24"/>
                <w:szCs w:val="24"/>
              </w:rPr>
            </w:pPr>
            <w:r>
              <w:rPr>
                <w:rFonts w:hint="eastAsia"/>
                <w:b/>
                <w:sz w:val="24"/>
                <w:szCs w:val="24"/>
              </w:rPr>
              <w:t>裁量档次</w:t>
            </w:r>
          </w:p>
        </w:tc>
        <w:tc>
          <w:tcPr>
            <w:tcW w:w="1395" w:type="dxa"/>
            <w:vAlign w:val="center"/>
          </w:tcPr>
          <w:p>
            <w:pPr>
              <w:jc w:val="center"/>
              <w:rPr>
                <w:b/>
                <w:sz w:val="24"/>
                <w:szCs w:val="24"/>
              </w:rPr>
            </w:pPr>
            <w:r>
              <w:rPr>
                <w:rFonts w:hint="eastAsia"/>
                <w:b/>
                <w:sz w:val="24"/>
                <w:szCs w:val="24"/>
              </w:rPr>
              <w:t>违法行为表现形式</w:t>
            </w:r>
          </w:p>
        </w:tc>
        <w:tc>
          <w:tcPr>
            <w:tcW w:w="1478" w:type="dxa"/>
            <w:vAlign w:val="center"/>
          </w:tcPr>
          <w:p>
            <w:pPr>
              <w:jc w:val="center"/>
              <w:rPr>
                <w:b/>
                <w:sz w:val="24"/>
                <w:szCs w:val="24"/>
              </w:rPr>
            </w:pPr>
            <w:r>
              <w:rPr>
                <w:rFonts w:hint="eastAsia"/>
                <w:b/>
                <w:sz w:val="24"/>
                <w:szCs w:val="24"/>
              </w:rPr>
              <w:t>裁量标准</w:t>
            </w:r>
          </w:p>
        </w:tc>
        <w:tc>
          <w:tcPr>
            <w:tcW w:w="708" w:type="dxa"/>
            <w:vAlign w:val="center"/>
          </w:tcPr>
          <w:p>
            <w:pPr>
              <w:jc w:val="center"/>
              <w:rPr>
                <w:b/>
                <w:sz w:val="24"/>
                <w:szCs w:val="24"/>
              </w:rPr>
            </w:pPr>
            <w:r>
              <w:rPr>
                <w:rFonts w:hint="eastAsia"/>
                <w:b/>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5" w:hRule="exact"/>
        </w:trPr>
        <w:tc>
          <w:tcPr>
            <w:tcW w:w="709" w:type="dxa"/>
            <w:vMerge w:val="restart"/>
            <w:vAlign w:val="center"/>
          </w:tcPr>
          <w:p>
            <w:pPr>
              <w:jc w:val="center"/>
              <w:rPr>
                <w:rFonts w:hint="eastAsia" w:ascii="宋体" w:hAnsi="宋体"/>
                <w:szCs w:val="21"/>
                <w:lang w:eastAsia="zh-CN"/>
              </w:rPr>
            </w:pPr>
            <w:r>
              <w:rPr>
                <w:rFonts w:hint="eastAsia" w:ascii="宋体" w:hAnsi="宋体"/>
                <w:szCs w:val="21"/>
                <w:lang w:eastAsia="zh-CN"/>
              </w:rPr>
              <w:t>统</w:t>
            </w:r>
          </w:p>
          <w:p>
            <w:pPr>
              <w:jc w:val="center"/>
              <w:rPr>
                <w:rFonts w:hint="eastAsia" w:ascii="宋体" w:hAnsi="宋体"/>
                <w:szCs w:val="21"/>
                <w:lang w:eastAsia="zh-CN"/>
              </w:rPr>
            </w:pPr>
            <w:r>
              <w:rPr>
                <w:rFonts w:hint="eastAsia" w:ascii="宋体" w:hAnsi="宋体"/>
                <w:szCs w:val="21"/>
                <w:lang w:eastAsia="zh-CN"/>
              </w:rPr>
              <w:t>计</w:t>
            </w:r>
          </w:p>
          <w:p>
            <w:pPr>
              <w:jc w:val="center"/>
              <w:rPr>
                <w:rFonts w:hint="eastAsia" w:ascii="宋体" w:hAnsi="宋体"/>
                <w:szCs w:val="21"/>
              </w:rPr>
            </w:pPr>
            <w:r>
              <w:rPr>
                <w:rFonts w:hint="eastAsia" w:ascii="宋体" w:hAnsi="宋体"/>
                <w:szCs w:val="21"/>
              </w:rPr>
              <w:t>管</w:t>
            </w:r>
          </w:p>
          <w:p>
            <w:pPr>
              <w:jc w:val="center"/>
              <w:rPr>
                <w:rFonts w:ascii="宋体" w:hAnsi="宋体"/>
                <w:szCs w:val="21"/>
              </w:rPr>
            </w:pPr>
            <w:r>
              <w:rPr>
                <w:rFonts w:hint="eastAsia" w:ascii="宋体" w:hAnsi="宋体"/>
                <w:szCs w:val="21"/>
              </w:rPr>
              <w:t>理</w:t>
            </w:r>
          </w:p>
        </w:tc>
        <w:tc>
          <w:tcPr>
            <w:tcW w:w="709" w:type="dxa"/>
            <w:vMerge w:val="restart"/>
            <w:vAlign w:val="center"/>
          </w:tcPr>
          <w:p>
            <w:pPr>
              <w:jc w:val="center"/>
              <w:rPr>
                <w:rFonts w:hint="eastAsia" w:ascii="宋体" w:hAnsi="宋体" w:eastAsia="宋体"/>
                <w:szCs w:val="21"/>
                <w:lang w:val="en-US" w:eastAsia="zh-CN"/>
              </w:rPr>
            </w:pPr>
            <w:r>
              <w:rPr>
                <w:rFonts w:hint="eastAsia" w:ascii="宋体" w:hAnsi="宋体" w:eastAsia="宋体"/>
                <w:szCs w:val="21"/>
                <w:lang w:val="en-US" w:eastAsia="zh-CN"/>
              </w:rPr>
              <w:t>5</w:t>
            </w:r>
          </w:p>
        </w:tc>
        <w:tc>
          <w:tcPr>
            <w:tcW w:w="714" w:type="dxa"/>
            <w:vMerge w:val="restart"/>
            <w:vAlign w:val="center"/>
          </w:tcPr>
          <w:p>
            <w:pPr>
              <w:jc w:val="both"/>
              <w:rPr>
                <w:rFonts w:ascii="宋体" w:hAnsi="宋体"/>
                <w:szCs w:val="21"/>
              </w:rPr>
            </w:pPr>
            <w:r>
              <w:rPr>
                <w:rFonts w:hint="eastAsia" w:ascii="宋体" w:hAnsi="宋体"/>
                <w:szCs w:val="21"/>
              </w:rPr>
              <w:t>企业事业单位或者其他组织</w:t>
            </w:r>
            <w:r>
              <w:rPr>
                <w:rFonts w:hint="eastAsia" w:ascii="宋体" w:hAnsi="宋体"/>
                <w:szCs w:val="21"/>
                <w:lang w:eastAsia="zh-CN"/>
              </w:rPr>
              <w:t>未按国家有关规定设置原始记录、统计台账的</w:t>
            </w:r>
          </w:p>
        </w:tc>
        <w:tc>
          <w:tcPr>
            <w:tcW w:w="3285" w:type="dxa"/>
            <w:vMerge w:val="restart"/>
            <w:vAlign w:val="center"/>
          </w:tcPr>
          <w:p>
            <w:pPr>
              <w:jc w:val="both"/>
              <w:rPr>
                <w:rFonts w:hint="eastAsia" w:ascii="宋体" w:hAnsi="宋体"/>
                <w:szCs w:val="21"/>
              </w:rPr>
            </w:pPr>
            <w:r>
              <w:rPr>
                <w:rFonts w:hint="eastAsia" w:ascii="宋体" w:hAnsi="宋体"/>
                <w:szCs w:val="21"/>
                <w:lang w:eastAsia="zh-CN"/>
              </w:rPr>
              <w:t>《中华人民共和国统计法》第四十二条：“作为统计调查对象的国家机关、企业事业单位或者其他组织迟报统计资料，或者未按照国家有关规定设置原始记录、统计台账的，由县级以上人民政府统计机构责令改正，给予警告。企业事业单位或者其他组织有前款所列行为之一的，可以并处一万元以下的罚款。个体工商户迟报统计资料的，由县级以上人民政府统计机构责令改正，给予警告，可以并处一千元以下的罚款”</w:t>
            </w:r>
            <w:r>
              <w:rPr>
                <w:rFonts w:hint="eastAsia" w:ascii="宋体" w:hAnsi="宋体"/>
                <w:szCs w:val="21"/>
              </w:rPr>
              <w:t>。</w:t>
            </w:r>
          </w:p>
          <w:p>
            <w:pPr>
              <w:jc w:val="both"/>
              <w:rPr>
                <w:rFonts w:hint="eastAsia" w:ascii="宋体" w:hAnsi="宋体"/>
                <w:szCs w:val="21"/>
              </w:rPr>
            </w:pPr>
            <w:r>
              <w:rPr>
                <w:rFonts w:hint="eastAsia" w:ascii="宋体" w:hAnsi="宋体"/>
                <w:szCs w:val="21"/>
                <w:lang w:eastAsia="zh-CN"/>
              </w:rPr>
              <w:t>《中华人民共和国行政处罚法》第二十七条“</w:t>
            </w:r>
            <w:r>
              <w:rPr>
                <w:rFonts w:hint="eastAsia" w:ascii="宋体" w:hAnsi="宋体"/>
                <w:szCs w:val="21"/>
              </w:rPr>
              <w:t>当事人有下列情形之一的，应当依法从轻或者减轻行政处罚:（一）主动消除或者减轻违法行为危害后果的；（二）受他人胁迫有违法行为的；（三）配合行政机关查处违法行为有立功表现的；（四）其他依法从轻或者减轻行政处罚的。违法行为轻微并及时纠正，没有造成危害后果的，不予行政处罚</w:t>
            </w:r>
            <w:r>
              <w:rPr>
                <w:rFonts w:hint="eastAsia" w:ascii="宋体" w:hAnsi="宋体"/>
                <w:szCs w:val="21"/>
                <w:lang w:eastAsia="zh-CN"/>
              </w:rPr>
              <w:t>”</w:t>
            </w:r>
            <w:r>
              <w:rPr>
                <w:rFonts w:hint="eastAsia" w:ascii="宋体" w:hAnsi="宋体"/>
                <w:szCs w:val="21"/>
              </w:rPr>
              <w:t>。</w:t>
            </w:r>
          </w:p>
        </w:tc>
        <w:tc>
          <w:tcPr>
            <w:tcW w:w="1350" w:type="dxa"/>
            <w:tcBorders>
              <w:bottom w:val="single" w:color="auto" w:sz="4" w:space="0"/>
            </w:tcBorders>
            <w:vAlign w:val="center"/>
          </w:tcPr>
          <w:p>
            <w:pPr>
              <w:jc w:val="center"/>
              <w:rPr>
                <w:rFonts w:hint="eastAsia" w:ascii="宋体" w:hAnsi="宋体" w:eastAsia="宋体"/>
                <w:szCs w:val="21"/>
                <w:lang w:eastAsia="zh-CN"/>
              </w:rPr>
            </w:pPr>
            <w:r>
              <w:rPr>
                <w:rFonts w:hint="eastAsia" w:ascii="宋体" w:hAnsi="宋体"/>
                <w:szCs w:val="21"/>
                <w:lang w:eastAsia="zh-CN"/>
              </w:rPr>
              <w:t>轻微</w:t>
            </w:r>
          </w:p>
        </w:tc>
        <w:tc>
          <w:tcPr>
            <w:tcW w:w="1395" w:type="dxa"/>
            <w:tcBorders>
              <w:bottom w:val="single" w:color="auto" w:sz="4" w:space="0"/>
            </w:tcBorders>
            <w:vAlign w:val="center"/>
          </w:tcPr>
          <w:p>
            <w:pPr>
              <w:widowControl/>
              <w:spacing w:before="75" w:line="360" w:lineRule="exact"/>
              <w:jc w:val="both"/>
              <w:rPr>
                <w:rFonts w:hint="eastAsia" w:ascii="宋体" w:hAnsi="宋体" w:eastAsia="宋体"/>
                <w:szCs w:val="21"/>
                <w:lang w:eastAsia="zh-CN"/>
              </w:rPr>
            </w:pPr>
            <w:r>
              <w:rPr>
                <w:rFonts w:hint="eastAsia" w:ascii="宋体" w:hAnsi="宋体"/>
                <w:szCs w:val="21"/>
                <w:lang w:eastAsia="zh-CN"/>
              </w:rPr>
              <w:t>首次被发现，违法情节轻微，未造成危害后果，并主动纠正或者在限期内改正的</w:t>
            </w:r>
          </w:p>
        </w:tc>
        <w:tc>
          <w:tcPr>
            <w:tcW w:w="1478" w:type="dxa"/>
            <w:tcBorders>
              <w:bottom w:val="single" w:color="auto" w:sz="4" w:space="0"/>
            </w:tcBorders>
            <w:vAlign w:val="center"/>
          </w:tcPr>
          <w:p>
            <w:pPr>
              <w:jc w:val="left"/>
              <w:rPr>
                <w:rFonts w:hint="eastAsia" w:ascii="宋体" w:hAnsi="宋体" w:eastAsia="宋体"/>
                <w:szCs w:val="21"/>
                <w:lang w:eastAsia="zh-CN"/>
              </w:rPr>
            </w:pPr>
            <w:r>
              <w:rPr>
                <w:rFonts w:hint="eastAsia" w:ascii="宋体" w:hAnsi="宋体"/>
                <w:szCs w:val="21"/>
                <w:lang w:eastAsia="zh-CN"/>
              </w:rPr>
              <w:t>责令改正</w:t>
            </w:r>
          </w:p>
        </w:tc>
        <w:tc>
          <w:tcPr>
            <w:tcW w:w="708" w:type="dxa"/>
            <w:tcBorders>
              <w:bottom w:val="single" w:color="auto" w:sz="4" w:space="0"/>
            </w:tcBorders>
            <w:vAlign w:val="center"/>
          </w:tcPr>
          <w:p>
            <w:pPr>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5" w:hRule="exact"/>
        </w:trPr>
        <w:tc>
          <w:tcPr>
            <w:tcW w:w="709" w:type="dxa"/>
            <w:vMerge w:val="continue"/>
            <w:vAlign w:val="center"/>
          </w:tcPr>
          <w:p>
            <w:pPr>
              <w:jc w:val="center"/>
              <w:rPr>
                <w:rFonts w:hint="eastAsia" w:ascii="宋体" w:hAnsi="宋体"/>
                <w:szCs w:val="21"/>
              </w:rPr>
            </w:pPr>
          </w:p>
        </w:tc>
        <w:tc>
          <w:tcPr>
            <w:tcW w:w="709" w:type="dxa"/>
            <w:vMerge w:val="continue"/>
            <w:vAlign w:val="center"/>
          </w:tcPr>
          <w:p>
            <w:pPr>
              <w:jc w:val="center"/>
              <w:rPr>
                <w:rFonts w:hint="eastAsia" w:ascii="宋体" w:hAnsi="宋体"/>
                <w:szCs w:val="21"/>
              </w:rPr>
            </w:pPr>
          </w:p>
        </w:tc>
        <w:tc>
          <w:tcPr>
            <w:tcW w:w="714" w:type="dxa"/>
            <w:vMerge w:val="continue"/>
            <w:vAlign w:val="center"/>
          </w:tcPr>
          <w:p>
            <w:pPr>
              <w:jc w:val="left"/>
              <w:rPr>
                <w:rFonts w:hint="eastAsia" w:ascii="宋体" w:hAnsi="宋体"/>
                <w:szCs w:val="21"/>
              </w:rPr>
            </w:pPr>
          </w:p>
        </w:tc>
        <w:tc>
          <w:tcPr>
            <w:tcW w:w="3285" w:type="dxa"/>
            <w:vMerge w:val="continue"/>
            <w:vAlign w:val="center"/>
          </w:tcPr>
          <w:p>
            <w:pPr>
              <w:jc w:val="center"/>
              <w:rPr>
                <w:rFonts w:hint="eastAsia" w:ascii="宋体" w:hAnsi="宋体"/>
                <w:szCs w:val="21"/>
              </w:rPr>
            </w:pPr>
          </w:p>
        </w:tc>
        <w:tc>
          <w:tcPr>
            <w:tcW w:w="1350" w:type="dxa"/>
            <w:tcBorders>
              <w:top w:val="single" w:color="auto" w:sz="4" w:space="0"/>
              <w:bottom w:val="single" w:color="auto" w:sz="4" w:space="0"/>
            </w:tcBorders>
            <w:vAlign w:val="center"/>
          </w:tcPr>
          <w:p>
            <w:pPr>
              <w:jc w:val="center"/>
              <w:rPr>
                <w:rFonts w:hint="eastAsia" w:ascii="宋体" w:hAnsi="宋体" w:eastAsia="宋体"/>
                <w:szCs w:val="21"/>
                <w:lang w:eastAsia="zh-CN"/>
              </w:rPr>
            </w:pPr>
            <w:r>
              <w:rPr>
                <w:rFonts w:hint="eastAsia" w:ascii="宋体" w:hAnsi="宋体"/>
                <w:szCs w:val="21"/>
                <w:lang w:eastAsia="zh-CN"/>
              </w:rPr>
              <w:t>一般</w:t>
            </w:r>
          </w:p>
        </w:tc>
        <w:tc>
          <w:tcPr>
            <w:tcW w:w="1395" w:type="dxa"/>
            <w:tcBorders>
              <w:top w:val="single" w:color="auto" w:sz="4" w:space="0"/>
              <w:bottom w:val="single" w:color="auto" w:sz="4" w:space="0"/>
            </w:tcBorders>
            <w:vAlign w:val="center"/>
          </w:tcPr>
          <w:p>
            <w:pPr>
              <w:widowControl/>
              <w:spacing w:before="75" w:line="360" w:lineRule="exact"/>
              <w:jc w:val="both"/>
              <w:rPr>
                <w:rFonts w:hint="eastAsia" w:ascii="宋体" w:hAnsi="宋体" w:eastAsia="宋体"/>
                <w:szCs w:val="21"/>
                <w:lang w:eastAsia="zh-CN"/>
              </w:rPr>
            </w:pPr>
            <w:r>
              <w:rPr>
                <w:rFonts w:hint="eastAsia" w:ascii="宋体" w:hAnsi="宋体"/>
                <w:szCs w:val="21"/>
                <w:lang w:eastAsia="zh-CN"/>
              </w:rPr>
              <w:t>一年内被发现</w:t>
            </w:r>
            <w:r>
              <w:rPr>
                <w:rFonts w:hint="eastAsia" w:ascii="宋体" w:hAnsi="宋体"/>
                <w:szCs w:val="21"/>
                <w:lang w:val="en-US" w:eastAsia="zh-CN"/>
              </w:rPr>
              <w:t>2次</w:t>
            </w:r>
            <w:r>
              <w:rPr>
                <w:rFonts w:hint="eastAsia" w:ascii="宋体" w:hAnsi="宋体"/>
                <w:szCs w:val="21"/>
                <w:lang w:eastAsia="zh-CN"/>
              </w:rPr>
              <w:t>并主动纠正的</w:t>
            </w:r>
          </w:p>
        </w:tc>
        <w:tc>
          <w:tcPr>
            <w:tcW w:w="1478" w:type="dxa"/>
            <w:tcBorders>
              <w:top w:val="single" w:color="auto" w:sz="4" w:space="0"/>
              <w:bottom w:val="single" w:color="auto" w:sz="4" w:space="0"/>
            </w:tcBorders>
            <w:vAlign w:val="center"/>
          </w:tcPr>
          <w:p>
            <w:pPr>
              <w:jc w:val="left"/>
              <w:rPr>
                <w:rFonts w:hint="eastAsia" w:ascii="宋体" w:hAnsi="宋体"/>
                <w:szCs w:val="21"/>
              </w:rPr>
            </w:pPr>
            <w:r>
              <w:rPr>
                <w:rFonts w:hint="eastAsia" w:ascii="宋体" w:hAnsi="宋体"/>
                <w:szCs w:val="21"/>
              </w:rPr>
              <w:t>给予“警告”或“警告并处</w:t>
            </w:r>
            <w:r>
              <w:rPr>
                <w:rFonts w:hint="eastAsia" w:ascii="宋体" w:hAnsi="宋体"/>
                <w:szCs w:val="21"/>
                <w:lang w:eastAsia="zh-CN"/>
              </w:rPr>
              <w:t>三千元</w:t>
            </w:r>
            <w:r>
              <w:rPr>
                <w:rFonts w:hint="eastAsia" w:ascii="宋体" w:hAnsi="宋体"/>
                <w:szCs w:val="21"/>
              </w:rPr>
              <w:t>以下罚款”</w:t>
            </w:r>
          </w:p>
        </w:tc>
        <w:tc>
          <w:tcPr>
            <w:tcW w:w="708" w:type="dxa"/>
            <w:tcBorders>
              <w:top w:val="single" w:color="auto" w:sz="4" w:space="0"/>
              <w:bottom w:val="single" w:color="auto" w:sz="4" w:space="0"/>
            </w:tcBorders>
            <w:vAlign w:val="center"/>
          </w:tcPr>
          <w:p>
            <w:pPr>
              <w:jc w:val="cente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5" w:hRule="exact"/>
        </w:trPr>
        <w:tc>
          <w:tcPr>
            <w:tcW w:w="709" w:type="dxa"/>
            <w:vMerge w:val="continue"/>
            <w:vAlign w:val="center"/>
          </w:tcPr>
          <w:p>
            <w:pPr>
              <w:jc w:val="center"/>
              <w:rPr>
                <w:rFonts w:hint="eastAsia" w:ascii="宋体" w:hAnsi="宋体"/>
                <w:szCs w:val="21"/>
              </w:rPr>
            </w:pPr>
          </w:p>
        </w:tc>
        <w:tc>
          <w:tcPr>
            <w:tcW w:w="709" w:type="dxa"/>
            <w:vMerge w:val="continue"/>
            <w:vAlign w:val="center"/>
          </w:tcPr>
          <w:p>
            <w:pPr>
              <w:jc w:val="center"/>
              <w:rPr>
                <w:rFonts w:hint="eastAsia" w:ascii="宋体" w:hAnsi="宋体"/>
                <w:szCs w:val="21"/>
              </w:rPr>
            </w:pPr>
          </w:p>
        </w:tc>
        <w:tc>
          <w:tcPr>
            <w:tcW w:w="714" w:type="dxa"/>
            <w:vMerge w:val="continue"/>
            <w:vAlign w:val="center"/>
          </w:tcPr>
          <w:p>
            <w:pPr>
              <w:jc w:val="left"/>
              <w:rPr>
                <w:rFonts w:hint="eastAsia" w:ascii="宋体" w:hAnsi="宋体"/>
                <w:szCs w:val="21"/>
              </w:rPr>
            </w:pPr>
          </w:p>
        </w:tc>
        <w:tc>
          <w:tcPr>
            <w:tcW w:w="3285" w:type="dxa"/>
            <w:vMerge w:val="continue"/>
            <w:vAlign w:val="center"/>
          </w:tcPr>
          <w:p>
            <w:pPr>
              <w:jc w:val="center"/>
              <w:rPr>
                <w:rFonts w:hint="eastAsia" w:ascii="宋体" w:hAnsi="宋体"/>
                <w:szCs w:val="21"/>
              </w:rPr>
            </w:pPr>
          </w:p>
        </w:tc>
        <w:tc>
          <w:tcPr>
            <w:tcW w:w="1350" w:type="dxa"/>
            <w:tcBorders>
              <w:top w:val="single" w:color="auto" w:sz="4" w:space="0"/>
              <w:bottom w:val="single" w:color="auto" w:sz="4" w:space="0"/>
            </w:tcBorders>
            <w:vAlign w:val="center"/>
          </w:tcPr>
          <w:p>
            <w:pPr>
              <w:jc w:val="center"/>
              <w:rPr>
                <w:rFonts w:hint="eastAsia" w:ascii="宋体" w:hAnsi="宋体" w:eastAsia="宋体"/>
                <w:szCs w:val="21"/>
                <w:lang w:eastAsia="zh-CN"/>
              </w:rPr>
            </w:pPr>
            <w:r>
              <w:rPr>
                <w:rFonts w:hint="eastAsia" w:ascii="宋体" w:hAnsi="宋体"/>
                <w:szCs w:val="21"/>
                <w:lang w:eastAsia="zh-CN"/>
              </w:rPr>
              <w:t>较重</w:t>
            </w:r>
          </w:p>
        </w:tc>
        <w:tc>
          <w:tcPr>
            <w:tcW w:w="1395" w:type="dxa"/>
            <w:tcBorders>
              <w:top w:val="single" w:color="auto" w:sz="4" w:space="0"/>
              <w:bottom w:val="single" w:color="auto" w:sz="4" w:space="0"/>
            </w:tcBorders>
            <w:vAlign w:val="center"/>
          </w:tcPr>
          <w:p>
            <w:pPr>
              <w:widowControl/>
              <w:spacing w:before="75" w:line="360" w:lineRule="exact"/>
              <w:jc w:val="both"/>
              <w:rPr>
                <w:rFonts w:hint="eastAsia" w:ascii="宋体" w:hAnsi="宋体" w:eastAsia="宋体"/>
                <w:szCs w:val="21"/>
                <w:lang w:eastAsia="zh-CN"/>
              </w:rPr>
            </w:pPr>
            <w:r>
              <w:rPr>
                <w:rFonts w:hint="eastAsia" w:ascii="宋体" w:hAnsi="宋体"/>
                <w:szCs w:val="21"/>
                <w:lang w:eastAsia="zh-CN"/>
              </w:rPr>
              <w:t>一年内被发现</w:t>
            </w:r>
            <w:r>
              <w:rPr>
                <w:rFonts w:hint="eastAsia" w:ascii="宋体" w:hAnsi="宋体"/>
                <w:szCs w:val="21"/>
                <w:lang w:val="en-US" w:eastAsia="zh-CN"/>
              </w:rPr>
              <w:t>3次并</w:t>
            </w:r>
            <w:r>
              <w:rPr>
                <w:rFonts w:hint="eastAsia" w:ascii="宋体" w:hAnsi="宋体"/>
                <w:szCs w:val="21"/>
                <w:lang w:eastAsia="zh-CN"/>
              </w:rPr>
              <w:t>在限期内改正的</w:t>
            </w:r>
          </w:p>
        </w:tc>
        <w:tc>
          <w:tcPr>
            <w:tcW w:w="1478" w:type="dxa"/>
            <w:tcBorders>
              <w:top w:val="single" w:color="auto" w:sz="4" w:space="0"/>
              <w:bottom w:val="single" w:color="auto" w:sz="4" w:space="0"/>
            </w:tcBorders>
            <w:vAlign w:val="center"/>
          </w:tcPr>
          <w:p>
            <w:pPr>
              <w:jc w:val="left"/>
              <w:rPr>
                <w:rFonts w:hint="eastAsia" w:ascii="宋体" w:hAnsi="宋体" w:eastAsia="宋体"/>
                <w:szCs w:val="21"/>
                <w:lang w:eastAsia="zh-CN"/>
              </w:rPr>
            </w:pPr>
            <w:r>
              <w:rPr>
                <w:rFonts w:hint="eastAsia" w:ascii="宋体" w:hAnsi="宋体"/>
                <w:szCs w:val="21"/>
              </w:rPr>
              <w:t>给予“警告并处</w:t>
            </w:r>
            <w:r>
              <w:rPr>
                <w:rFonts w:hint="eastAsia" w:ascii="宋体" w:hAnsi="宋体"/>
                <w:szCs w:val="21"/>
                <w:lang w:eastAsia="zh-CN"/>
              </w:rPr>
              <w:t>三千元以上一万元</w:t>
            </w:r>
            <w:r>
              <w:rPr>
                <w:rFonts w:hint="eastAsia" w:ascii="宋体" w:hAnsi="宋体"/>
                <w:szCs w:val="21"/>
              </w:rPr>
              <w:t>以下罚款”</w:t>
            </w:r>
          </w:p>
        </w:tc>
        <w:tc>
          <w:tcPr>
            <w:tcW w:w="708" w:type="dxa"/>
            <w:tcBorders>
              <w:top w:val="single" w:color="auto" w:sz="4" w:space="0"/>
              <w:bottom w:val="single" w:color="auto" w:sz="4" w:space="0"/>
            </w:tcBorders>
            <w:vAlign w:val="center"/>
          </w:tcPr>
          <w:p>
            <w:pPr>
              <w:jc w:val="center"/>
            </w:pPr>
          </w:p>
        </w:tc>
      </w:tr>
    </w:tbl>
    <w:p/>
    <w:p>
      <w:pPr>
        <w:rPr>
          <w:rFonts w:ascii="仿宋_GB2312" w:eastAsia="仿宋_GB2312"/>
          <w:sz w:val="32"/>
          <w:szCs w:val="32"/>
        </w:rPr>
      </w:pPr>
    </w:p>
    <w:sectPr>
      <w:footerReference r:id="rId3" w:type="default"/>
      <w:pgSz w:w="11906" w:h="16838"/>
      <w:pgMar w:top="1418" w:right="1644" w:bottom="1418" w:left="164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Book Antiqua">
    <w:panose1 w:val="0204060205030503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16686594"/>
    </w:sdtPr>
    <w:sdtContent>
      <w:p>
        <w:pPr>
          <w:pStyle w:val="3"/>
          <w:jc w:val="center"/>
        </w:pPr>
        <w:r>
          <w:fldChar w:fldCharType="begin"/>
        </w:r>
        <w:r>
          <w:instrText xml:space="preserve"> PAGE   \* MERGEFORMAT </w:instrText>
        </w:r>
        <w:r>
          <w:fldChar w:fldCharType="separate"/>
        </w:r>
        <w:r>
          <w:rPr>
            <w:lang w:val="zh-CN"/>
          </w:rPr>
          <w:t>4</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613"/>
    <w:rsid w:val="000121D4"/>
    <w:rsid w:val="00074057"/>
    <w:rsid w:val="000A6635"/>
    <w:rsid w:val="000E252C"/>
    <w:rsid w:val="00170367"/>
    <w:rsid w:val="001803C2"/>
    <w:rsid w:val="00192ECA"/>
    <w:rsid w:val="001937E9"/>
    <w:rsid w:val="001A4E42"/>
    <w:rsid w:val="00232FC5"/>
    <w:rsid w:val="002345B7"/>
    <w:rsid w:val="00252588"/>
    <w:rsid w:val="002E5A09"/>
    <w:rsid w:val="003226BC"/>
    <w:rsid w:val="003372F0"/>
    <w:rsid w:val="00343A36"/>
    <w:rsid w:val="00352692"/>
    <w:rsid w:val="003C5481"/>
    <w:rsid w:val="004317C7"/>
    <w:rsid w:val="0044145A"/>
    <w:rsid w:val="00463261"/>
    <w:rsid w:val="0046509C"/>
    <w:rsid w:val="004C06C2"/>
    <w:rsid w:val="004D2C7A"/>
    <w:rsid w:val="004E7E2C"/>
    <w:rsid w:val="004F3ABA"/>
    <w:rsid w:val="00515901"/>
    <w:rsid w:val="005A3E2C"/>
    <w:rsid w:val="00607482"/>
    <w:rsid w:val="00624113"/>
    <w:rsid w:val="006241CE"/>
    <w:rsid w:val="00641773"/>
    <w:rsid w:val="006432BA"/>
    <w:rsid w:val="00652F05"/>
    <w:rsid w:val="006A3D0A"/>
    <w:rsid w:val="006A7467"/>
    <w:rsid w:val="006B3121"/>
    <w:rsid w:val="006D3907"/>
    <w:rsid w:val="00713355"/>
    <w:rsid w:val="00755B41"/>
    <w:rsid w:val="008331A3"/>
    <w:rsid w:val="0084543A"/>
    <w:rsid w:val="008552F6"/>
    <w:rsid w:val="00864A5D"/>
    <w:rsid w:val="00883985"/>
    <w:rsid w:val="008866A5"/>
    <w:rsid w:val="00894934"/>
    <w:rsid w:val="00930EFB"/>
    <w:rsid w:val="00941E14"/>
    <w:rsid w:val="00964047"/>
    <w:rsid w:val="009D2452"/>
    <w:rsid w:val="009F1E1A"/>
    <w:rsid w:val="00A4319E"/>
    <w:rsid w:val="00A46D2F"/>
    <w:rsid w:val="00A56D38"/>
    <w:rsid w:val="00A77C8C"/>
    <w:rsid w:val="00AD6B66"/>
    <w:rsid w:val="00AF640B"/>
    <w:rsid w:val="00B96737"/>
    <w:rsid w:val="00BA47CC"/>
    <w:rsid w:val="00BB57E9"/>
    <w:rsid w:val="00C11B2E"/>
    <w:rsid w:val="00C16F72"/>
    <w:rsid w:val="00C41FA1"/>
    <w:rsid w:val="00C542FA"/>
    <w:rsid w:val="00C90368"/>
    <w:rsid w:val="00CD26BE"/>
    <w:rsid w:val="00CF6AB0"/>
    <w:rsid w:val="00D1396F"/>
    <w:rsid w:val="00D56D97"/>
    <w:rsid w:val="00D737E8"/>
    <w:rsid w:val="00DA491D"/>
    <w:rsid w:val="00DF3680"/>
    <w:rsid w:val="00E11201"/>
    <w:rsid w:val="00E3486A"/>
    <w:rsid w:val="00E464AF"/>
    <w:rsid w:val="00E57082"/>
    <w:rsid w:val="00E63AE6"/>
    <w:rsid w:val="00E8039D"/>
    <w:rsid w:val="00EB46DD"/>
    <w:rsid w:val="00ED2613"/>
    <w:rsid w:val="00ED2B19"/>
    <w:rsid w:val="00ED6DB0"/>
    <w:rsid w:val="00EF2BF5"/>
    <w:rsid w:val="00F17262"/>
    <w:rsid w:val="00F27267"/>
    <w:rsid w:val="00F354CB"/>
    <w:rsid w:val="00FD12DC"/>
    <w:rsid w:val="1EFF09C2"/>
    <w:rsid w:val="273C6375"/>
    <w:rsid w:val="411D00ED"/>
    <w:rsid w:val="4BFF8887"/>
    <w:rsid w:val="50866773"/>
    <w:rsid w:val="51E74479"/>
    <w:rsid w:val="5C37697C"/>
    <w:rsid w:val="616913FC"/>
    <w:rsid w:val="63662D1F"/>
    <w:rsid w:val="660E7608"/>
    <w:rsid w:val="66B70A20"/>
    <w:rsid w:val="6A9C2754"/>
    <w:rsid w:val="6C366E22"/>
    <w:rsid w:val="6EB60DC5"/>
    <w:rsid w:val="6FE278A4"/>
    <w:rsid w:val="78B15B37"/>
    <w:rsid w:val="79023656"/>
    <w:rsid w:val="794D5061"/>
    <w:rsid w:val="7C241E7E"/>
    <w:rsid w:val="F77B6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9"/>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0"/>
    <w:rPr>
      <w:color w:val="0000FF"/>
      <w:u w:val="single"/>
    </w:rPr>
  </w:style>
  <w:style w:type="character" w:customStyle="1" w:styleId="10">
    <w:name w:val="页眉 Char"/>
    <w:basedOn w:val="8"/>
    <w:link w:val="4"/>
    <w:semiHidden/>
    <w:qFormat/>
    <w:uiPriority w:val="99"/>
    <w:rPr>
      <w:sz w:val="18"/>
      <w:szCs w:val="18"/>
    </w:rPr>
  </w:style>
  <w:style w:type="character" w:customStyle="1" w:styleId="11">
    <w:name w:val="页脚 Char"/>
    <w:basedOn w:val="8"/>
    <w:link w:val="3"/>
    <w:qFormat/>
    <w:uiPriority w:val="99"/>
    <w:rPr>
      <w:sz w:val="18"/>
      <w:szCs w:val="18"/>
    </w:rPr>
  </w:style>
  <w:style w:type="paragraph" w:customStyle="1" w:styleId="12">
    <w:name w:val="p0"/>
    <w:basedOn w:val="1"/>
    <w:qFormat/>
    <w:uiPriority w:val="0"/>
    <w:pPr>
      <w:widowControl/>
    </w:pPr>
    <w:rPr>
      <w:rFonts w:ascii="Times New Roman" w:hAnsi="Times New Roman" w:eastAsia="宋体" w:cs="Times New Roman"/>
      <w:kern w:val="0"/>
      <w:szCs w:val="21"/>
    </w:rPr>
  </w:style>
  <w:style w:type="paragraph" w:customStyle="1" w:styleId="13">
    <w:name w:val="Char"/>
    <w:basedOn w:val="1"/>
    <w:qFormat/>
    <w:uiPriority w:val="0"/>
    <w:pPr>
      <w:widowControl/>
      <w:jc w:val="left"/>
    </w:pPr>
    <w:rPr>
      <w:rFonts w:ascii="Tahoma" w:hAnsi="Tahoma" w:eastAsia="宋体" w:cs="仿宋_GB2312"/>
      <w:kern w:val="0"/>
      <w:sz w:val="24"/>
      <w:szCs w:val="20"/>
    </w:rPr>
  </w:style>
  <w:style w:type="paragraph" w:customStyle="1" w:styleId="14">
    <w:name w:val="List Paragraph"/>
    <w:basedOn w:val="1"/>
    <w:qFormat/>
    <w:uiPriority w:val="34"/>
    <w:pPr>
      <w:ind w:firstLine="420" w:firstLineChars="200"/>
    </w:pPr>
  </w:style>
  <w:style w:type="paragraph" w:customStyle="1" w:styleId="15">
    <w:name w:val="Heading #2|1"/>
    <w:basedOn w:val="1"/>
    <w:qFormat/>
    <w:uiPriority w:val="0"/>
    <w:pPr>
      <w:spacing w:after="400" w:line="619" w:lineRule="exact"/>
      <w:jc w:val="center"/>
      <w:outlineLvl w:val="1"/>
    </w:pPr>
    <w:rPr>
      <w:rFonts w:ascii="宋体" w:hAnsi="宋体" w:eastAsia="宋体" w:cs="宋体"/>
      <w:sz w:val="42"/>
      <w:szCs w:val="42"/>
      <w:lang w:val="zh-TW" w:eastAsia="zh-TW" w:bidi="zh-TW"/>
    </w:rPr>
  </w:style>
  <w:style w:type="paragraph" w:customStyle="1" w:styleId="16">
    <w:name w:val="Body text|1"/>
    <w:basedOn w:val="1"/>
    <w:qFormat/>
    <w:uiPriority w:val="0"/>
    <w:pPr>
      <w:spacing w:line="420" w:lineRule="auto"/>
      <w:ind w:firstLine="400"/>
    </w:pPr>
    <w:rPr>
      <w:rFonts w:ascii="宋体" w:hAnsi="宋体" w:eastAsia="宋体" w:cs="宋体"/>
      <w:sz w:val="30"/>
      <w:szCs w:val="30"/>
      <w:lang w:val="zh-TW" w:eastAsia="zh-TW" w:bidi="zh-TW"/>
    </w:rPr>
  </w:style>
  <w:style w:type="paragraph" w:customStyle="1" w:styleId="17">
    <w:name w:val="Body text|2"/>
    <w:basedOn w:val="1"/>
    <w:qFormat/>
    <w:uiPriority w:val="0"/>
    <w:pPr>
      <w:spacing w:after="1200"/>
      <w:jc w:val="center"/>
    </w:pPr>
    <w:rPr>
      <w:rFonts w:ascii="Calibri" w:hAnsi="Calibri" w:eastAsia="宋体" w:cs="Times New Roman"/>
      <w:sz w:val="30"/>
      <w:szCs w:val="30"/>
      <w:lang w:val="zh-TW" w:eastAsia="zh-TW" w:bidi="zh-TW"/>
    </w:rPr>
  </w:style>
  <w:style w:type="paragraph" w:customStyle="1" w:styleId="18">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9">
    <w:name w:val="批注框文本 Char"/>
    <w:basedOn w:val="8"/>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859</Words>
  <Characters>4898</Characters>
  <Lines>40</Lines>
  <Paragraphs>11</Paragraphs>
  <TotalTime>36</TotalTime>
  <ScaleCrop>false</ScaleCrop>
  <LinksUpToDate>false</LinksUpToDate>
  <CharactersWithSpaces>5746</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2020-09-14T22:30:00Z</dcterms:created>
  <dc:creator>Windows 用户</dc:creator>
  <cp:lastModifiedBy>爱新觉罗-琛</cp:lastModifiedBy>
  <cp:lastPrinted>2020-11-04T08:59:00Z</cp:lastPrinted>
  <dcterms:modified xsi:type="dcterms:W3CDTF">2022-11-25T10:56:44Z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y fmtid="{D5CDD505-2E9C-101B-9397-08002B2CF9AE}" pid="3" name="ICV">
    <vt:lpwstr>BCDC8596FBAE40CFAD0D07CD564778BB</vt:lpwstr>
  </property>
</Properties>
</file>